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AA60F" w14:textId="77777777" w:rsidR="00C84198" w:rsidRPr="00DA7BF3" w:rsidRDefault="0007408E" w:rsidP="00BC4782">
      <w:pPr>
        <w:spacing w:before="960"/>
        <w:jc w:val="center"/>
        <w:rPr>
          <w:sz w:val="32"/>
        </w:rPr>
      </w:pPr>
      <w:r w:rsidRPr="00807DAF">
        <w:rPr>
          <w:b/>
          <w:sz w:val="32"/>
        </w:rPr>
        <w:t xml:space="preserve">Contracting </w:t>
      </w:r>
      <w:r w:rsidR="00F118D3" w:rsidRPr="00807DAF">
        <w:rPr>
          <w:b/>
          <w:sz w:val="32"/>
        </w:rPr>
        <w:t>Authority</w:t>
      </w:r>
      <w:r w:rsidR="00F118D3" w:rsidRPr="00807DAF">
        <w:rPr>
          <w:sz w:val="32"/>
        </w:rPr>
        <w:t>:</w:t>
      </w:r>
      <w:r w:rsidR="0088168E" w:rsidRPr="00807DAF">
        <w:rPr>
          <w:sz w:val="32"/>
        </w:rPr>
        <w:t xml:space="preserve"> </w:t>
      </w:r>
      <w:r w:rsidR="009A18A9">
        <w:rPr>
          <w:sz w:val="32"/>
        </w:rPr>
        <w:t>European Commission</w:t>
      </w:r>
    </w:p>
    <w:p w14:paraId="3CD14A97" w14:textId="7A585748" w:rsidR="00F452B6" w:rsidRPr="00777617" w:rsidRDefault="006706A1" w:rsidP="00F452B6">
      <w:pPr>
        <w:pStyle w:val="Title"/>
        <w:spacing w:before="1320"/>
        <w:outlineLvl w:val="0"/>
        <w:rPr>
          <w:sz w:val="32"/>
          <w:szCs w:val="32"/>
        </w:rPr>
      </w:pPr>
      <w:r>
        <w:rPr>
          <w:sz w:val="32"/>
          <w:szCs w:val="32"/>
        </w:rPr>
        <w:t>European Instrument f</w:t>
      </w:r>
      <w:r w:rsidR="00F452B6" w:rsidRPr="00777617">
        <w:rPr>
          <w:sz w:val="32"/>
          <w:szCs w:val="32"/>
        </w:rPr>
        <w:t>or Democracy and Human Rights (EIDHR): 2017 Global Call for Proposals</w:t>
      </w:r>
    </w:p>
    <w:p w14:paraId="44276516" w14:textId="77777777" w:rsidR="00491F8A" w:rsidRPr="00914130" w:rsidRDefault="00914130" w:rsidP="00491F8A">
      <w:pPr>
        <w:pStyle w:val="SubTitle1"/>
        <w:spacing w:before="480"/>
        <w:rPr>
          <w:sz w:val="32"/>
          <w:szCs w:val="32"/>
        </w:rPr>
      </w:pPr>
      <w:r w:rsidRPr="00914130">
        <w:rPr>
          <w:sz w:val="32"/>
          <w:szCs w:val="32"/>
        </w:rPr>
        <w:t xml:space="preserve">Guidelines </w:t>
      </w:r>
      <w:r w:rsidR="0007408E" w:rsidRPr="00914130">
        <w:rPr>
          <w:sz w:val="32"/>
          <w:szCs w:val="32"/>
        </w:rPr>
        <w:t>for grant</w:t>
      </w:r>
      <w:r w:rsidR="00440A3B">
        <w:rPr>
          <w:sz w:val="32"/>
          <w:szCs w:val="32"/>
        </w:rPr>
        <w:t xml:space="preserve"> </w:t>
      </w:r>
      <w:r w:rsidR="0007408E" w:rsidRPr="00914130">
        <w:rPr>
          <w:sz w:val="32"/>
          <w:szCs w:val="32"/>
        </w:rPr>
        <w:t>applicants</w:t>
      </w:r>
    </w:p>
    <w:p w14:paraId="365DDBDA" w14:textId="5C5501B4" w:rsidR="00976F89" w:rsidRPr="00777617" w:rsidRDefault="00777617" w:rsidP="00976F89">
      <w:pPr>
        <w:pStyle w:val="SubTitle1"/>
        <w:spacing w:before="480"/>
        <w:rPr>
          <w:b w:val="0"/>
          <w:snapToGrid w:val="0"/>
          <w:sz w:val="32"/>
          <w:szCs w:val="32"/>
        </w:rPr>
      </w:pPr>
      <w:r>
        <w:rPr>
          <w:b w:val="0"/>
          <w:snapToGrid w:val="0"/>
          <w:sz w:val="32"/>
          <w:szCs w:val="32"/>
        </w:rPr>
        <w:t>Budget line</w:t>
      </w:r>
      <w:r w:rsidR="00976F89" w:rsidRPr="00777617">
        <w:rPr>
          <w:b w:val="0"/>
          <w:snapToGrid w:val="0"/>
          <w:sz w:val="32"/>
          <w:szCs w:val="32"/>
        </w:rPr>
        <w:t>:</w:t>
      </w:r>
      <w:r w:rsidRPr="00777617">
        <w:rPr>
          <w:b w:val="0"/>
          <w:snapToGrid w:val="0"/>
          <w:sz w:val="32"/>
          <w:szCs w:val="32"/>
        </w:rPr>
        <w:t xml:space="preserve"> </w:t>
      </w:r>
      <w:r w:rsidR="00BC465E" w:rsidRPr="00BC465E">
        <w:rPr>
          <w:b w:val="0"/>
          <w:snapToGrid w:val="0"/>
          <w:sz w:val="32"/>
          <w:szCs w:val="32"/>
        </w:rPr>
        <w:t xml:space="preserve">038-675  </w:t>
      </w:r>
    </w:p>
    <w:p w14:paraId="49C81263" w14:textId="77777777" w:rsidR="006225E8" w:rsidRPr="00B965AB" w:rsidRDefault="00655455" w:rsidP="007C7101">
      <w:pPr>
        <w:pStyle w:val="SubTitle2"/>
        <w:rPr>
          <w:b w:val="0"/>
          <w:noProof/>
          <w:szCs w:val="32"/>
        </w:rPr>
      </w:pPr>
      <w:r w:rsidRPr="00B965AB">
        <w:rPr>
          <w:b w:val="0"/>
          <w:szCs w:val="32"/>
        </w:rPr>
        <w:t>Reference</w:t>
      </w:r>
      <w:proofErr w:type="gramStart"/>
      <w:r w:rsidRPr="00B965AB">
        <w:rPr>
          <w:b w:val="0"/>
          <w:szCs w:val="32"/>
        </w:rPr>
        <w:t>:</w:t>
      </w:r>
      <w:proofErr w:type="gramEnd"/>
      <w:r w:rsidRPr="00B965AB">
        <w:rPr>
          <w:b w:val="0"/>
          <w:szCs w:val="32"/>
        </w:rPr>
        <w:br/>
      </w:r>
      <w:proofErr w:type="spellStart"/>
      <w:r w:rsidRPr="00B965AB">
        <w:rPr>
          <w:b w:val="0"/>
          <w:szCs w:val="32"/>
        </w:rPr>
        <w:t>EuropeAid</w:t>
      </w:r>
      <w:proofErr w:type="spellEnd"/>
      <w:r w:rsidRPr="00B965AB">
        <w:rPr>
          <w:b w:val="0"/>
          <w:szCs w:val="32"/>
        </w:rPr>
        <w:t>/</w:t>
      </w:r>
      <w:r w:rsidRPr="00B965AB">
        <w:rPr>
          <w:b w:val="0"/>
          <w:noProof/>
          <w:szCs w:val="32"/>
        </w:rPr>
        <w:t>155232</w:t>
      </w:r>
      <w:r w:rsidRPr="00B965AB">
        <w:rPr>
          <w:b w:val="0"/>
          <w:szCs w:val="32"/>
        </w:rPr>
        <w:t>/</w:t>
      </w:r>
      <w:r w:rsidRPr="00B965AB">
        <w:rPr>
          <w:b w:val="0"/>
          <w:noProof/>
          <w:szCs w:val="32"/>
        </w:rPr>
        <w:t>DH/</w:t>
      </w:r>
      <w:r w:rsidR="00F2697F" w:rsidRPr="00B965AB">
        <w:rPr>
          <w:b w:val="0"/>
          <w:noProof/>
          <w:szCs w:val="32"/>
        </w:rPr>
        <w:t>ACT</w:t>
      </w:r>
      <w:r w:rsidRPr="00B965AB">
        <w:rPr>
          <w:b w:val="0"/>
          <w:noProof/>
          <w:szCs w:val="32"/>
        </w:rPr>
        <w:t>/</w:t>
      </w:r>
      <w:r w:rsidR="00B32E4B" w:rsidRPr="00B965AB">
        <w:rPr>
          <w:b w:val="0"/>
          <w:noProof/>
          <w:szCs w:val="32"/>
        </w:rPr>
        <w:t>Multi</w:t>
      </w:r>
    </w:p>
    <w:p w14:paraId="1B7631CA" w14:textId="77777777" w:rsidR="008D1E4D" w:rsidRDefault="007377DD" w:rsidP="007C7101">
      <w:pPr>
        <w:pStyle w:val="SubTitle2"/>
        <w:spacing w:after="120"/>
        <w:rPr>
          <w:b w:val="0"/>
          <w:noProof/>
          <w:szCs w:val="32"/>
        </w:rPr>
      </w:pPr>
      <w:r w:rsidRPr="00B965AB">
        <w:rPr>
          <w:b w:val="0"/>
          <w:noProof/>
          <w:szCs w:val="32"/>
        </w:rPr>
        <w:t xml:space="preserve">Deadline for </w:t>
      </w:r>
      <w:r w:rsidR="006A7719" w:rsidRPr="00B965AB">
        <w:rPr>
          <w:b w:val="0"/>
          <w:noProof/>
          <w:szCs w:val="32"/>
        </w:rPr>
        <w:t>submission</w:t>
      </w:r>
      <w:r w:rsidR="009A18A9" w:rsidRPr="00B965AB">
        <w:rPr>
          <w:rStyle w:val="FootnoteReference"/>
          <w:b w:val="0"/>
          <w:sz w:val="32"/>
          <w:szCs w:val="32"/>
        </w:rPr>
        <w:footnoteReference w:id="2"/>
      </w:r>
      <w:r w:rsidR="006A7719" w:rsidRPr="00B965AB">
        <w:rPr>
          <w:b w:val="0"/>
          <w:noProof/>
          <w:szCs w:val="32"/>
        </w:rPr>
        <w:t xml:space="preserve"> </w:t>
      </w:r>
      <w:r w:rsidRPr="00B965AB">
        <w:rPr>
          <w:b w:val="0"/>
          <w:noProof/>
          <w:szCs w:val="32"/>
        </w:rPr>
        <w:t xml:space="preserve">of </w:t>
      </w:r>
      <w:r w:rsidR="00BC1CD4">
        <w:rPr>
          <w:b w:val="0"/>
          <w:noProof/>
          <w:szCs w:val="32"/>
        </w:rPr>
        <w:t>c</w:t>
      </w:r>
      <w:r w:rsidR="009A18A9" w:rsidRPr="00B965AB">
        <w:rPr>
          <w:b w:val="0"/>
          <w:noProof/>
          <w:szCs w:val="32"/>
        </w:rPr>
        <w:t xml:space="preserve">oncept </w:t>
      </w:r>
      <w:r w:rsidR="00BC1CD4">
        <w:rPr>
          <w:b w:val="0"/>
          <w:noProof/>
          <w:szCs w:val="32"/>
        </w:rPr>
        <w:t>n</w:t>
      </w:r>
      <w:r w:rsidR="009A18A9" w:rsidRPr="00B965AB">
        <w:rPr>
          <w:b w:val="0"/>
          <w:noProof/>
          <w:szCs w:val="32"/>
        </w:rPr>
        <w:t>ote</w:t>
      </w:r>
      <w:r w:rsidR="00CC28AF">
        <w:rPr>
          <w:b w:val="0"/>
          <w:noProof/>
          <w:szCs w:val="32"/>
        </w:rPr>
        <w:t>s</w:t>
      </w:r>
      <w:r w:rsidRPr="00B965AB">
        <w:rPr>
          <w:b w:val="0"/>
          <w:noProof/>
          <w:szCs w:val="32"/>
        </w:rPr>
        <w:t>:</w:t>
      </w:r>
    </w:p>
    <w:p w14:paraId="2060D359" w14:textId="65913ED2" w:rsidR="00D8316F" w:rsidRPr="008D1F59" w:rsidRDefault="00D8316F" w:rsidP="007C7101">
      <w:pPr>
        <w:pStyle w:val="SubTitle2"/>
        <w:rPr>
          <w:noProof/>
          <w:szCs w:val="32"/>
        </w:rPr>
      </w:pPr>
      <w:r w:rsidRPr="008D1F59">
        <w:rPr>
          <w:noProof/>
          <w:szCs w:val="32"/>
        </w:rPr>
        <w:t xml:space="preserve"> at </w:t>
      </w:r>
      <w:r w:rsidR="00CA52DB">
        <w:rPr>
          <w:noProof/>
          <w:szCs w:val="32"/>
        </w:rPr>
        <w:t xml:space="preserve">09/11/2017 </w:t>
      </w:r>
      <w:r w:rsidR="0084573C">
        <w:rPr>
          <w:noProof/>
          <w:szCs w:val="32"/>
        </w:rPr>
        <w:t>at 16</w:t>
      </w:r>
      <w:r w:rsidR="00CA52DB">
        <w:rPr>
          <w:noProof/>
          <w:szCs w:val="32"/>
        </w:rPr>
        <w:t>:00</w:t>
      </w:r>
      <w:r w:rsidRPr="008D1F59">
        <w:rPr>
          <w:noProof/>
          <w:szCs w:val="32"/>
        </w:rPr>
        <w:t xml:space="preserve"> (Brussels date and time)</w:t>
      </w:r>
    </w:p>
    <w:p w14:paraId="3D98C351" w14:textId="77777777" w:rsidR="009A18A9" w:rsidRPr="00AD680B" w:rsidRDefault="00BB7053" w:rsidP="00AD680B">
      <w:pPr>
        <w:pStyle w:val="SubTitle2"/>
        <w:rPr>
          <w:szCs w:val="32"/>
        </w:rPr>
      </w:pPr>
      <w:r w:rsidRPr="00AD680B">
        <w:rPr>
          <w:b w:val="0"/>
          <w:szCs w:val="32"/>
        </w:rPr>
        <w:t>(</w:t>
      </w:r>
      <w:proofErr w:type="gramStart"/>
      <w:r w:rsidRPr="00AD680B">
        <w:rPr>
          <w:b w:val="0"/>
          <w:szCs w:val="32"/>
        </w:rPr>
        <w:t>in</w:t>
      </w:r>
      <w:proofErr w:type="gramEnd"/>
      <w:r w:rsidRPr="00AD680B">
        <w:rPr>
          <w:b w:val="0"/>
          <w:szCs w:val="32"/>
        </w:rPr>
        <w:t xml:space="preserve"> order to convert to local time click </w:t>
      </w:r>
      <w:hyperlink r:id="rId9" w:history="1">
        <w:r w:rsidRPr="00AD680B">
          <w:rPr>
            <w:rStyle w:val="Hyperlink"/>
            <w:szCs w:val="32"/>
          </w:rPr>
          <w:t>here</w:t>
        </w:r>
      </w:hyperlink>
      <w:r w:rsidR="00AD680B" w:rsidRPr="00AD680B">
        <w:rPr>
          <w:rStyle w:val="FootnoteReference"/>
          <w:sz w:val="32"/>
          <w:szCs w:val="32"/>
        </w:rPr>
        <w:footnoteReference w:id="3"/>
      </w:r>
      <w:r w:rsidRPr="00AD680B">
        <w:rPr>
          <w:szCs w:val="32"/>
        </w:rPr>
        <w:t>)</w:t>
      </w:r>
    </w:p>
    <w:p w14:paraId="2889C6EE" w14:textId="77777777" w:rsidR="0007408E" w:rsidRPr="007353F7" w:rsidRDefault="007857D2" w:rsidP="00063B9A">
      <w:pPr>
        <w:pStyle w:val="SubTitle1"/>
        <w:rPr>
          <w:sz w:val="28"/>
          <w:szCs w:val="28"/>
        </w:rPr>
      </w:pPr>
      <w:r w:rsidRPr="00807DAF">
        <w:br w:type="page"/>
      </w:r>
      <w:r w:rsidRPr="007353F7">
        <w:rPr>
          <w:sz w:val="28"/>
          <w:szCs w:val="28"/>
        </w:rPr>
        <w:lastRenderedPageBreak/>
        <w:t>NOTICE</w:t>
      </w:r>
    </w:p>
    <w:p w14:paraId="421283E9" w14:textId="77777777" w:rsidR="00B4576A" w:rsidRPr="00A67141" w:rsidRDefault="00B4576A" w:rsidP="00063B9A">
      <w:pPr>
        <w:pStyle w:val="Subtitle"/>
        <w:jc w:val="both"/>
        <w:rPr>
          <w:rFonts w:ascii="Times New Roman" w:hAnsi="Times New Roman"/>
          <w:sz w:val="22"/>
          <w:szCs w:val="22"/>
          <w:lang w:val="en-GB"/>
        </w:rPr>
      </w:pPr>
      <w:r w:rsidRPr="00A67141">
        <w:rPr>
          <w:rFonts w:ascii="Times New Roman" w:hAnsi="Times New Roman"/>
          <w:sz w:val="22"/>
          <w:szCs w:val="22"/>
          <w:lang w:val="en-GB"/>
        </w:rPr>
        <w:t>In case of any discrepancy between the language versions of this call, the English version will prevail.</w:t>
      </w:r>
    </w:p>
    <w:p w14:paraId="48A15D65" w14:textId="5B5B57E3" w:rsidR="001C6DAC" w:rsidRDefault="0052492E" w:rsidP="00063B9A">
      <w:pPr>
        <w:pStyle w:val="Subtitle"/>
        <w:jc w:val="both"/>
        <w:rPr>
          <w:rFonts w:ascii="Times New Roman" w:hAnsi="Times New Roman"/>
          <w:b w:val="0"/>
          <w:sz w:val="22"/>
          <w:szCs w:val="22"/>
          <w:lang w:val="en-GB"/>
        </w:rPr>
      </w:pPr>
      <w:r w:rsidRPr="00FE05D4">
        <w:rPr>
          <w:rFonts w:ascii="Times New Roman" w:hAnsi="Times New Roman"/>
          <w:b w:val="0"/>
          <w:sz w:val="22"/>
          <w:szCs w:val="22"/>
          <w:lang w:val="en-GB"/>
        </w:rPr>
        <w:t xml:space="preserve">This is a restricted </w:t>
      </w:r>
      <w:r w:rsidR="00F437C2">
        <w:rPr>
          <w:rFonts w:ascii="Times New Roman" w:hAnsi="Times New Roman"/>
          <w:b w:val="0"/>
          <w:sz w:val="22"/>
          <w:szCs w:val="22"/>
          <w:lang w:val="en-GB"/>
        </w:rPr>
        <w:t>c</w:t>
      </w:r>
      <w:r w:rsidRPr="00FE05D4">
        <w:rPr>
          <w:rFonts w:ascii="Times New Roman" w:hAnsi="Times New Roman"/>
          <w:b w:val="0"/>
          <w:sz w:val="22"/>
          <w:szCs w:val="22"/>
          <w:lang w:val="en-GB"/>
        </w:rPr>
        <w:t xml:space="preserve">all for </w:t>
      </w:r>
      <w:r w:rsidR="00F437C2">
        <w:rPr>
          <w:rFonts w:ascii="Times New Roman" w:hAnsi="Times New Roman"/>
          <w:b w:val="0"/>
          <w:sz w:val="22"/>
          <w:szCs w:val="22"/>
          <w:lang w:val="en-GB"/>
        </w:rPr>
        <w:t>p</w:t>
      </w:r>
      <w:r w:rsidRPr="00FE05D4">
        <w:rPr>
          <w:rFonts w:ascii="Times New Roman" w:hAnsi="Times New Roman"/>
          <w:b w:val="0"/>
          <w:sz w:val="22"/>
          <w:szCs w:val="22"/>
          <w:lang w:val="en-GB"/>
        </w:rPr>
        <w:t xml:space="preserve">roposals. In the first instance, only </w:t>
      </w:r>
      <w:r w:rsidR="00F437C2">
        <w:rPr>
          <w:rFonts w:ascii="Times New Roman" w:hAnsi="Times New Roman"/>
          <w:b w:val="0"/>
          <w:sz w:val="22"/>
          <w:szCs w:val="22"/>
          <w:lang w:val="en-GB"/>
        </w:rPr>
        <w:t>c</w:t>
      </w:r>
      <w:r w:rsidRPr="00FE05D4">
        <w:rPr>
          <w:rFonts w:ascii="Times New Roman" w:hAnsi="Times New Roman"/>
          <w:b w:val="0"/>
          <w:sz w:val="22"/>
          <w:szCs w:val="22"/>
          <w:lang w:val="en-GB"/>
        </w:rPr>
        <w:t xml:space="preserve">oncept </w:t>
      </w:r>
      <w:r w:rsidR="00F437C2">
        <w:rPr>
          <w:rFonts w:ascii="Times New Roman" w:hAnsi="Times New Roman"/>
          <w:b w:val="0"/>
          <w:sz w:val="22"/>
          <w:szCs w:val="22"/>
          <w:lang w:val="en-GB"/>
        </w:rPr>
        <w:t>n</w:t>
      </w:r>
      <w:r w:rsidRPr="00FE05D4">
        <w:rPr>
          <w:rFonts w:ascii="Times New Roman" w:hAnsi="Times New Roman"/>
          <w:b w:val="0"/>
          <w:sz w:val="22"/>
          <w:szCs w:val="22"/>
          <w:lang w:val="en-GB"/>
        </w:rPr>
        <w:t xml:space="preserve">otes </w:t>
      </w:r>
      <w:r w:rsidR="00F437C2">
        <w:rPr>
          <w:rFonts w:ascii="Times New Roman" w:hAnsi="Times New Roman"/>
          <w:b w:val="0"/>
          <w:sz w:val="22"/>
          <w:szCs w:val="22"/>
          <w:lang w:val="en-GB"/>
        </w:rPr>
        <w:t>(</w:t>
      </w:r>
      <w:r w:rsidR="0012437A">
        <w:rPr>
          <w:rFonts w:ascii="Times New Roman" w:hAnsi="Times New Roman"/>
          <w:b w:val="0"/>
          <w:sz w:val="22"/>
          <w:szCs w:val="22"/>
          <w:lang w:val="en-GB"/>
        </w:rPr>
        <w:t>Annex A.1</w:t>
      </w:r>
      <w:r w:rsidR="00F437C2">
        <w:rPr>
          <w:rFonts w:ascii="Times New Roman" w:hAnsi="Times New Roman"/>
          <w:b w:val="0"/>
          <w:sz w:val="22"/>
          <w:szCs w:val="22"/>
          <w:lang w:val="en-GB"/>
        </w:rPr>
        <w:t xml:space="preserve">) </w:t>
      </w:r>
      <w:r w:rsidRPr="00FE05D4">
        <w:rPr>
          <w:rFonts w:ascii="Times New Roman" w:hAnsi="Times New Roman"/>
          <w:b w:val="0"/>
          <w:sz w:val="22"/>
          <w:szCs w:val="22"/>
          <w:lang w:val="en-GB"/>
        </w:rPr>
        <w:t xml:space="preserve">must be submitted for evaluation. Thereafter, </w:t>
      </w:r>
      <w:r w:rsidR="003153CB">
        <w:rPr>
          <w:rFonts w:ascii="Times New Roman" w:hAnsi="Times New Roman"/>
          <w:b w:val="0"/>
          <w:sz w:val="22"/>
          <w:szCs w:val="22"/>
          <w:lang w:val="en-GB"/>
        </w:rPr>
        <w:t>lead a</w:t>
      </w:r>
      <w:r w:rsidRPr="00FE05D4">
        <w:rPr>
          <w:rFonts w:ascii="Times New Roman" w:hAnsi="Times New Roman"/>
          <w:b w:val="0"/>
          <w:sz w:val="22"/>
          <w:szCs w:val="22"/>
          <w:lang w:val="en-GB"/>
        </w:rPr>
        <w:t xml:space="preserve">pplicants who have been pre-selected will be invited to submit a </w:t>
      </w:r>
      <w:r w:rsidR="00F437C2">
        <w:rPr>
          <w:rFonts w:ascii="Times New Roman" w:hAnsi="Times New Roman"/>
          <w:b w:val="0"/>
          <w:sz w:val="22"/>
          <w:szCs w:val="22"/>
          <w:lang w:val="en-GB"/>
        </w:rPr>
        <w:t>f</w:t>
      </w:r>
      <w:r w:rsidRPr="00FE05D4">
        <w:rPr>
          <w:rFonts w:ascii="Times New Roman" w:hAnsi="Times New Roman"/>
          <w:b w:val="0"/>
          <w:sz w:val="22"/>
          <w:szCs w:val="22"/>
          <w:lang w:val="en-GB"/>
        </w:rPr>
        <w:t xml:space="preserve">ull </w:t>
      </w:r>
      <w:r w:rsidR="00F437C2">
        <w:rPr>
          <w:rFonts w:ascii="Times New Roman" w:hAnsi="Times New Roman"/>
          <w:b w:val="0"/>
          <w:sz w:val="22"/>
          <w:szCs w:val="22"/>
          <w:lang w:val="en-GB"/>
        </w:rPr>
        <w:t>a</w:t>
      </w:r>
      <w:r w:rsidRPr="00FE05D4">
        <w:rPr>
          <w:rFonts w:ascii="Times New Roman" w:hAnsi="Times New Roman"/>
          <w:b w:val="0"/>
          <w:sz w:val="22"/>
          <w:szCs w:val="22"/>
          <w:lang w:val="en-GB"/>
        </w:rPr>
        <w:t xml:space="preserve">pplication. </w:t>
      </w:r>
      <w:r w:rsidR="00D830C7" w:rsidRPr="00FE05D4">
        <w:rPr>
          <w:rFonts w:ascii="Times New Roman" w:hAnsi="Times New Roman"/>
          <w:b w:val="0"/>
          <w:sz w:val="22"/>
          <w:szCs w:val="22"/>
          <w:lang w:val="en-GB"/>
        </w:rPr>
        <w:t>After</w:t>
      </w:r>
      <w:r w:rsidRPr="00FE05D4">
        <w:rPr>
          <w:rFonts w:ascii="Times New Roman" w:hAnsi="Times New Roman"/>
          <w:b w:val="0"/>
          <w:sz w:val="22"/>
          <w:szCs w:val="22"/>
          <w:lang w:val="en-GB"/>
        </w:rPr>
        <w:t xml:space="preserve"> the evaluation of the </w:t>
      </w:r>
      <w:r w:rsidR="003D1DD6">
        <w:rPr>
          <w:rFonts w:ascii="Times New Roman" w:hAnsi="Times New Roman"/>
          <w:b w:val="0"/>
          <w:sz w:val="22"/>
          <w:szCs w:val="22"/>
          <w:lang w:val="en-GB"/>
        </w:rPr>
        <w:t>f</w:t>
      </w:r>
      <w:r w:rsidRPr="00FE05D4">
        <w:rPr>
          <w:rFonts w:ascii="Times New Roman" w:hAnsi="Times New Roman"/>
          <w:b w:val="0"/>
          <w:sz w:val="22"/>
          <w:szCs w:val="22"/>
          <w:lang w:val="en-GB"/>
        </w:rPr>
        <w:t xml:space="preserve">ull </w:t>
      </w:r>
      <w:r w:rsidR="003D1DD6">
        <w:rPr>
          <w:rFonts w:ascii="Times New Roman" w:hAnsi="Times New Roman"/>
          <w:b w:val="0"/>
          <w:sz w:val="22"/>
          <w:szCs w:val="22"/>
          <w:lang w:val="en-GB"/>
        </w:rPr>
        <w:t>a</w:t>
      </w:r>
      <w:r w:rsidRPr="00FE05D4">
        <w:rPr>
          <w:rFonts w:ascii="Times New Roman" w:hAnsi="Times New Roman"/>
          <w:b w:val="0"/>
          <w:sz w:val="22"/>
          <w:szCs w:val="22"/>
          <w:lang w:val="en-GB"/>
        </w:rPr>
        <w:t xml:space="preserve">pplications, an eligibility check will be performed for those which </w:t>
      </w:r>
      <w:r w:rsidR="00D830C7" w:rsidRPr="00FE05D4">
        <w:rPr>
          <w:rFonts w:ascii="Times New Roman" w:hAnsi="Times New Roman"/>
          <w:b w:val="0"/>
          <w:sz w:val="22"/>
          <w:szCs w:val="22"/>
          <w:lang w:val="en-GB"/>
        </w:rPr>
        <w:t xml:space="preserve">have been </w:t>
      </w:r>
      <w:r w:rsidRPr="00FE05D4">
        <w:rPr>
          <w:rFonts w:ascii="Times New Roman" w:hAnsi="Times New Roman"/>
          <w:b w:val="0"/>
          <w:sz w:val="22"/>
          <w:szCs w:val="22"/>
          <w:lang w:val="en-GB"/>
        </w:rPr>
        <w:t xml:space="preserve">provisionally selected. </w:t>
      </w:r>
      <w:r w:rsidR="001D2826" w:rsidRPr="00FE05D4">
        <w:rPr>
          <w:rFonts w:ascii="Times New Roman" w:hAnsi="Times New Roman"/>
          <w:b w:val="0"/>
          <w:sz w:val="22"/>
          <w:szCs w:val="22"/>
          <w:lang w:val="en-GB"/>
        </w:rPr>
        <w:t>Eligibility</w:t>
      </w:r>
      <w:r w:rsidRPr="00FE05D4">
        <w:rPr>
          <w:rFonts w:ascii="Times New Roman" w:hAnsi="Times New Roman"/>
          <w:b w:val="0"/>
          <w:sz w:val="22"/>
          <w:szCs w:val="22"/>
          <w:lang w:val="en-GB"/>
        </w:rPr>
        <w:t xml:space="preserve"> will be </w:t>
      </w:r>
      <w:r w:rsidR="001D2826" w:rsidRPr="00FE05D4">
        <w:rPr>
          <w:rFonts w:ascii="Times New Roman" w:hAnsi="Times New Roman"/>
          <w:b w:val="0"/>
          <w:sz w:val="22"/>
          <w:szCs w:val="22"/>
          <w:lang w:val="en-GB"/>
        </w:rPr>
        <w:t xml:space="preserve">checked </w:t>
      </w:r>
      <w:r w:rsidRPr="00FE05D4">
        <w:rPr>
          <w:rFonts w:ascii="Times New Roman" w:hAnsi="Times New Roman"/>
          <w:b w:val="0"/>
          <w:sz w:val="22"/>
          <w:szCs w:val="22"/>
          <w:lang w:val="en-GB"/>
        </w:rPr>
        <w:t>on the basis of the supporting documents requested by the Contracting Authority</w:t>
      </w:r>
      <w:r w:rsidR="009D29CA" w:rsidRPr="00FE05D4">
        <w:rPr>
          <w:rFonts w:ascii="Times New Roman" w:hAnsi="Times New Roman"/>
          <w:b w:val="0"/>
          <w:sz w:val="22"/>
          <w:szCs w:val="22"/>
          <w:lang w:val="en-GB"/>
        </w:rPr>
        <w:t xml:space="preserve"> and</w:t>
      </w:r>
      <w:r w:rsidRPr="00FE05D4">
        <w:rPr>
          <w:rFonts w:ascii="Times New Roman" w:hAnsi="Times New Roman"/>
          <w:b w:val="0"/>
          <w:sz w:val="22"/>
          <w:szCs w:val="22"/>
          <w:lang w:val="en-GB"/>
        </w:rPr>
        <w:t xml:space="preserve"> the signed </w:t>
      </w:r>
      <w:r w:rsidR="00A016F9" w:rsidRPr="00D52530">
        <w:rPr>
          <w:rFonts w:ascii="Times New Roman" w:hAnsi="Times New Roman"/>
          <w:b w:val="0"/>
          <w:sz w:val="22"/>
          <w:szCs w:val="22"/>
          <w:lang w:val="en-GB"/>
        </w:rPr>
        <w:t>‘</w:t>
      </w:r>
      <w:r w:rsidR="00F437C2">
        <w:rPr>
          <w:rFonts w:ascii="Times New Roman" w:hAnsi="Times New Roman"/>
          <w:b w:val="0"/>
          <w:sz w:val="22"/>
          <w:szCs w:val="22"/>
          <w:lang w:val="en-GB"/>
        </w:rPr>
        <w:t>d</w:t>
      </w:r>
      <w:r w:rsidRPr="00FE05D4">
        <w:rPr>
          <w:rFonts w:ascii="Times New Roman" w:hAnsi="Times New Roman"/>
          <w:b w:val="0"/>
          <w:sz w:val="22"/>
          <w:szCs w:val="22"/>
          <w:lang w:val="en-GB"/>
        </w:rPr>
        <w:t xml:space="preserve">eclaration by the </w:t>
      </w:r>
      <w:r w:rsidR="003153CB">
        <w:rPr>
          <w:rFonts w:ascii="Times New Roman" w:hAnsi="Times New Roman"/>
          <w:b w:val="0"/>
          <w:sz w:val="22"/>
          <w:szCs w:val="22"/>
          <w:lang w:val="en-GB"/>
        </w:rPr>
        <w:t>lead a</w:t>
      </w:r>
      <w:r w:rsidRPr="00FE05D4">
        <w:rPr>
          <w:rFonts w:ascii="Times New Roman" w:hAnsi="Times New Roman"/>
          <w:b w:val="0"/>
          <w:sz w:val="22"/>
          <w:szCs w:val="22"/>
          <w:lang w:val="en-GB"/>
        </w:rPr>
        <w:t>pplicant</w:t>
      </w:r>
      <w:r w:rsidR="00A016F9" w:rsidRPr="00D52530">
        <w:rPr>
          <w:rFonts w:ascii="Times New Roman" w:hAnsi="Times New Roman"/>
          <w:b w:val="0"/>
          <w:sz w:val="22"/>
          <w:szCs w:val="22"/>
          <w:lang w:val="en-GB"/>
        </w:rPr>
        <w:t>’</w:t>
      </w:r>
      <w:r w:rsidRPr="00FE05D4">
        <w:rPr>
          <w:rFonts w:ascii="Times New Roman" w:hAnsi="Times New Roman"/>
          <w:b w:val="0"/>
          <w:sz w:val="22"/>
          <w:szCs w:val="22"/>
          <w:lang w:val="en-GB"/>
        </w:rPr>
        <w:t xml:space="preserve"> sen</w:t>
      </w:r>
      <w:r w:rsidR="00F77D44" w:rsidRPr="00FE05D4">
        <w:rPr>
          <w:rFonts w:ascii="Times New Roman" w:hAnsi="Times New Roman"/>
          <w:b w:val="0"/>
          <w:sz w:val="22"/>
          <w:szCs w:val="22"/>
          <w:lang w:val="en-GB"/>
        </w:rPr>
        <w:t xml:space="preserve">t together with the </w:t>
      </w:r>
      <w:r w:rsidR="003D1DD6">
        <w:rPr>
          <w:rFonts w:ascii="Times New Roman" w:hAnsi="Times New Roman"/>
          <w:b w:val="0"/>
          <w:sz w:val="22"/>
          <w:szCs w:val="22"/>
          <w:lang w:val="en-GB"/>
        </w:rPr>
        <w:t xml:space="preserve">full </w:t>
      </w:r>
      <w:r w:rsidR="00F77D44" w:rsidRPr="00FE05D4">
        <w:rPr>
          <w:rFonts w:ascii="Times New Roman" w:hAnsi="Times New Roman"/>
          <w:b w:val="0"/>
          <w:sz w:val="22"/>
          <w:szCs w:val="22"/>
          <w:lang w:val="en-GB"/>
        </w:rPr>
        <w:t>application</w:t>
      </w:r>
      <w:r w:rsidR="00F77D44" w:rsidRPr="00567F96">
        <w:rPr>
          <w:rFonts w:ascii="Times New Roman" w:hAnsi="Times New Roman"/>
          <w:b w:val="0"/>
          <w:sz w:val="22"/>
          <w:szCs w:val="22"/>
          <w:lang w:val="en-GB"/>
        </w:rPr>
        <w:t>.</w:t>
      </w:r>
    </w:p>
    <w:p w14:paraId="7188C9B9" w14:textId="77777777" w:rsidR="00960D9B" w:rsidRPr="00960D9B" w:rsidRDefault="00960D9B" w:rsidP="00A67141">
      <w:pPr>
        <w:pStyle w:val="Subtitle"/>
        <w:jc w:val="both"/>
        <w:rPr>
          <w:rFonts w:ascii="Times New Roman" w:hAnsi="Times New Roman"/>
          <w:b w:val="0"/>
          <w:sz w:val="22"/>
          <w:szCs w:val="22"/>
          <w:lang w:val="en-GB"/>
        </w:rPr>
      </w:pPr>
      <w:r w:rsidRPr="00960D9B">
        <w:rPr>
          <w:rFonts w:ascii="Times New Roman" w:hAnsi="Times New Roman"/>
          <w:sz w:val="22"/>
          <w:szCs w:val="22"/>
          <w:lang w:val="en-GB"/>
        </w:rPr>
        <w:t>To apply to this call for proposals organisations must register in PADOR and submit their application in PROSPECT</w:t>
      </w:r>
      <w:r w:rsidRPr="00960D9B">
        <w:rPr>
          <w:rFonts w:ascii="Times New Roman" w:hAnsi="Times New Roman"/>
          <w:b w:val="0"/>
          <w:sz w:val="22"/>
          <w:szCs w:val="22"/>
          <w:lang w:val="en-GB"/>
        </w:rPr>
        <w:t xml:space="preserve"> (see section 2.2.2 of the guidelines). The aim of PROSPECT is to increase the efficiency of the management of the call for proposals and to offer a better service to civil society organisations through a new panel of functionalities such as the on-line submission and the possibility to follow up online the status of their application.</w:t>
      </w:r>
    </w:p>
    <w:p w14:paraId="082C3C37" w14:textId="08E51646" w:rsidR="00E45D22" w:rsidRPr="004A503E" w:rsidRDefault="00960D9B" w:rsidP="00A67141">
      <w:pPr>
        <w:pBdr>
          <w:top w:val="single" w:sz="4" w:space="1" w:color="auto"/>
          <w:left w:val="single" w:sz="4" w:space="4" w:color="auto"/>
          <w:bottom w:val="single" w:sz="4" w:space="1" w:color="auto"/>
          <w:right w:val="single" w:sz="4" w:space="4" w:color="auto"/>
        </w:pBdr>
        <w:rPr>
          <w:bCs/>
          <w:szCs w:val="22"/>
        </w:rPr>
      </w:pPr>
      <w:r w:rsidRPr="00960D9B">
        <w:rPr>
          <w:b/>
          <w:szCs w:val="22"/>
        </w:rPr>
        <w:t>All organisations can find the e-learning (Annex L) and the PROSPECT users' manual (Annex M) and the FAQ published together with the documents of this call. You may also contact our technical support team via the online support form in PROSPECT</w:t>
      </w:r>
      <w:r w:rsidR="00B4576A">
        <w:rPr>
          <w:rStyle w:val="FootnoteReference"/>
          <w:b/>
          <w:szCs w:val="22"/>
        </w:rPr>
        <w:footnoteReference w:id="4"/>
      </w:r>
      <w:r w:rsidRPr="00960D9B">
        <w:rPr>
          <w:b/>
          <w:szCs w:val="22"/>
        </w:rPr>
        <w:t xml:space="preserve"> .</w:t>
      </w:r>
      <w:r w:rsidR="00E45D22" w:rsidRPr="004A503E">
        <w:rPr>
          <w:bCs/>
          <w:color w:val="000000"/>
          <w:szCs w:val="22"/>
        </w:rPr>
        <w:t xml:space="preserve">A functional mailbox specifically dedicated to this call has been set up: </w:t>
      </w:r>
    </w:p>
    <w:p w14:paraId="240EBFB5" w14:textId="416A1D4E" w:rsidR="00E45D22" w:rsidRPr="00E45D22" w:rsidRDefault="00E45D22" w:rsidP="00A67141">
      <w:pPr>
        <w:pBdr>
          <w:top w:val="single" w:sz="4" w:space="1" w:color="auto"/>
          <w:left w:val="single" w:sz="4" w:space="4" w:color="auto"/>
          <w:bottom w:val="single" w:sz="4" w:space="1" w:color="auto"/>
          <w:right w:val="single" w:sz="4" w:space="4" w:color="auto"/>
        </w:pBdr>
        <w:rPr>
          <w:b/>
          <w:bCs/>
          <w:color w:val="0000FF"/>
          <w:szCs w:val="22"/>
          <w:u w:val="single"/>
        </w:rPr>
      </w:pPr>
      <w:r w:rsidRPr="00342AFB">
        <w:rPr>
          <w:rStyle w:val="Hyperlink"/>
          <w:b/>
          <w:szCs w:val="22"/>
        </w:rPr>
        <w:t>EuropeAid-155232@ec.europa.eu</w:t>
      </w:r>
      <w:r w:rsidRPr="00342AFB">
        <w:rPr>
          <w:b/>
          <w:szCs w:val="22"/>
        </w:rPr>
        <w:t>.</w:t>
      </w:r>
    </w:p>
    <w:p w14:paraId="64DD3F4B" w14:textId="45CFD223" w:rsidR="00E45D22" w:rsidRPr="004A503E" w:rsidRDefault="00E45D22" w:rsidP="00A67141">
      <w:pPr>
        <w:pBdr>
          <w:top w:val="single" w:sz="4" w:space="1" w:color="auto"/>
          <w:left w:val="single" w:sz="4" w:space="4" w:color="auto"/>
          <w:bottom w:val="single" w:sz="4" w:space="1" w:color="auto"/>
          <w:right w:val="single" w:sz="4" w:space="4" w:color="auto"/>
        </w:pBdr>
        <w:rPr>
          <w:bCs/>
          <w:szCs w:val="22"/>
        </w:rPr>
      </w:pPr>
      <w:r w:rsidRPr="004A503E">
        <w:rPr>
          <w:bCs/>
          <w:szCs w:val="22"/>
        </w:rPr>
        <w:t xml:space="preserve">It shall be used exclusively for sending clarification requests within the deadlines set in paragraph 2.2 of these </w:t>
      </w:r>
      <w:proofErr w:type="gramStart"/>
      <w:r w:rsidRPr="004A503E">
        <w:rPr>
          <w:bCs/>
          <w:szCs w:val="22"/>
        </w:rPr>
        <w:t>guidelines,</w:t>
      </w:r>
      <w:proofErr w:type="gramEnd"/>
      <w:r w:rsidRPr="004A503E">
        <w:rPr>
          <w:bCs/>
          <w:szCs w:val="22"/>
        </w:rPr>
        <w:t xml:space="preserve"> </w:t>
      </w:r>
      <w:r>
        <w:rPr>
          <w:bCs/>
          <w:szCs w:val="22"/>
        </w:rPr>
        <w:t>n</w:t>
      </w:r>
      <w:r w:rsidRPr="004A503E">
        <w:rPr>
          <w:bCs/>
          <w:szCs w:val="22"/>
        </w:rPr>
        <w:t xml:space="preserve">o other functional mailbox will be used. The Contracting Authority reserves the right to close this mailbox without prior notice once this call for proposals is closed and not to reply to requests which do not fall under one of the afore-mentioned category. </w:t>
      </w:r>
      <w:r w:rsidR="00CD6F5A" w:rsidRPr="00CB7DD3">
        <w:rPr>
          <w:szCs w:val="22"/>
        </w:rPr>
        <w:t>In particular, neither the information regarding the indicative time table nor the content of the decision will be given through this mailbox. In that respect, applicants are requested to follow instruction given in paragraphs 2.5.1 and 2.5.2 of these guidelines.</w:t>
      </w:r>
    </w:p>
    <w:p w14:paraId="16D21776" w14:textId="77777777" w:rsidR="00E45D22" w:rsidRPr="004A503E" w:rsidRDefault="00E45D22" w:rsidP="00A67141">
      <w:pPr>
        <w:pBdr>
          <w:top w:val="single" w:sz="4" w:space="1" w:color="auto"/>
          <w:left w:val="single" w:sz="4" w:space="4" w:color="auto"/>
          <w:bottom w:val="single" w:sz="4" w:space="1" w:color="auto"/>
          <w:right w:val="single" w:sz="4" w:space="4" w:color="auto"/>
        </w:pBdr>
        <w:autoSpaceDE w:val="0"/>
        <w:autoSpaceDN w:val="0"/>
        <w:rPr>
          <w:b/>
          <w:szCs w:val="22"/>
        </w:rPr>
      </w:pPr>
      <w:r w:rsidRPr="004A503E">
        <w:rPr>
          <w:b/>
          <w:szCs w:val="22"/>
          <w:u w:val="single"/>
        </w:rPr>
        <w:t>Concept notes or full applications submitted by e-mail via this mailbox or any other mailbox will not be considered</w:t>
      </w:r>
      <w:r w:rsidRPr="004A503E">
        <w:rPr>
          <w:b/>
          <w:szCs w:val="22"/>
        </w:rPr>
        <w:t>.</w:t>
      </w:r>
    </w:p>
    <w:p w14:paraId="35849332" w14:textId="77777777" w:rsidR="007C41C4" w:rsidRDefault="007C41C4" w:rsidP="00A67141">
      <w:pPr>
        <w:pStyle w:val="Default"/>
        <w:pBdr>
          <w:top w:val="single" w:sz="4" w:space="1" w:color="auto"/>
          <w:left w:val="single" w:sz="4" w:space="4" w:color="auto"/>
          <w:bottom w:val="single" w:sz="4" w:space="1" w:color="auto"/>
          <w:right w:val="single" w:sz="4" w:space="4" w:color="auto"/>
        </w:pBdr>
        <w:jc w:val="center"/>
        <w:rPr>
          <w:b/>
          <w:bCs/>
          <w:sz w:val="36"/>
          <w:szCs w:val="36"/>
        </w:rPr>
      </w:pPr>
    </w:p>
    <w:p w14:paraId="3A0FA71A" w14:textId="77777777" w:rsidR="007C41C4" w:rsidRDefault="007C41C4" w:rsidP="007C41C4">
      <w:pPr>
        <w:pStyle w:val="Default"/>
        <w:jc w:val="center"/>
        <w:rPr>
          <w:b/>
          <w:bCs/>
          <w:sz w:val="36"/>
          <w:szCs w:val="36"/>
        </w:rPr>
      </w:pPr>
    </w:p>
    <w:p w14:paraId="058A644B" w14:textId="77777777" w:rsidR="007C41C4" w:rsidRDefault="007C41C4" w:rsidP="007C41C4">
      <w:pPr>
        <w:pStyle w:val="Default"/>
        <w:jc w:val="center"/>
        <w:rPr>
          <w:b/>
          <w:bCs/>
          <w:sz w:val="36"/>
          <w:szCs w:val="36"/>
        </w:rPr>
      </w:pPr>
    </w:p>
    <w:p w14:paraId="29364E8A" w14:textId="77777777" w:rsidR="007C41C4" w:rsidRDefault="007C41C4" w:rsidP="007C41C4">
      <w:pPr>
        <w:pStyle w:val="Default"/>
        <w:jc w:val="center"/>
        <w:rPr>
          <w:b/>
          <w:bCs/>
          <w:sz w:val="36"/>
          <w:szCs w:val="36"/>
        </w:rPr>
      </w:pPr>
    </w:p>
    <w:p w14:paraId="236FCDF0" w14:textId="77777777" w:rsidR="007C41C4" w:rsidRDefault="007C41C4" w:rsidP="007C41C4">
      <w:pPr>
        <w:pStyle w:val="Default"/>
        <w:jc w:val="center"/>
        <w:rPr>
          <w:b/>
          <w:bCs/>
          <w:sz w:val="36"/>
          <w:szCs w:val="36"/>
        </w:rPr>
      </w:pPr>
    </w:p>
    <w:p w14:paraId="133C46CF" w14:textId="77777777" w:rsidR="007C41C4" w:rsidRDefault="007C41C4" w:rsidP="007C41C4">
      <w:pPr>
        <w:pStyle w:val="Default"/>
        <w:jc w:val="center"/>
        <w:rPr>
          <w:b/>
          <w:bCs/>
          <w:sz w:val="36"/>
          <w:szCs w:val="36"/>
        </w:rPr>
      </w:pPr>
    </w:p>
    <w:p w14:paraId="0A7525C8" w14:textId="77777777" w:rsidR="007C41C4" w:rsidRDefault="007C41C4" w:rsidP="007C41C4">
      <w:pPr>
        <w:pStyle w:val="Default"/>
        <w:jc w:val="center"/>
        <w:rPr>
          <w:b/>
          <w:bCs/>
          <w:sz w:val="36"/>
          <w:szCs w:val="36"/>
        </w:rPr>
      </w:pPr>
    </w:p>
    <w:p w14:paraId="4B370E12" w14:textId="77777777" w:rsidR="007C41C4" w:rsidRDefault="007C41C4" w:rsidP="007C41C4">
      <w:pPr>
        <w:pStyle w:val="Default"/>
        <w:jc w:val="center"/>
        <w:rPr>
          <w:b/>
          <w:bCs/>
          <w:sz w:val="36"/>
          <w:szCs w:val="36"/>
        </w:rPr>
      </w:pPr>
    </w:p>
    <w:p w14:paraId="1A23AD05" w14:textId="77777777" w:rsidR="007C41C4" w:rsidRDefault="007C41C4" w:rsidP="007C41C4">
      <w:pPr>
        <w:pStyle w:val="Default"/>
        <w:jc w:val="center"/>
        <w:rPr>
          <w:b/>
          <w:bCs/>
          <w:sz w:val="36"/>
          <w:szCs w:val="36"/>
        </w:rPr>
      </w:pPr>
    </w:p>
    <w:p w14:paraId="633FA185" w14:textId="77777777" w:rsidR="007C41C4" w:rsidRDefault="007C41C4" w:rsidP="007C41C4">
      <w:pPr>
        <w:pStyle w:val="Default"/>
        <w:jc w:val="center"/>
        <w:rPr>
          <w:b/>
          <w:bCs/>
          <w:sz w:val="36"/>
          <w:szCs w:val="36"/>
        </w:rPr>
      </w:pPr>
    </w:p>
    <w:p w14:paraId="1B2449A7" w14:textId="77777777" w:rsidR="007C41C4" w:rsidRDefault="007C41C4" w:rsidP="007C41C4">
      <w:pPr>
        <w:pStyle w:val="Default"/>
        <w:jc w:val="center"/>
        <w:rPr>
          <w:b/>
          <w:bCs/>
          <w:sz w:val="36"/>
          <w:szCs w:val="36"/>
        </w:rPr>
      </w:pPr>
    </w:p>
    <w:p w14:paraId="5A2A5971" w14:textId="77777777" w:rsidR="007C41C4" w:rsidRDefault="007C41C4" w:rsidP="007C41C4">
      <w:pPr>
        <w:pStyle w:val="Default"/>
        <w:jc w:val="center"/>
        <w:rPr>
          <w:b/>
          <w:bCs/>
          <w:sz w:val="36"/>
          <w:szCs w:val="36"/>
        </w:rPr>
      </w:pPr>
    </w:p>
    <w:p w14:paraId="25B632B9" w14:textId="77777777" w:rsidR="007C41C4" w:rsidRDefault="007C41C4" w:rsidP="007C41C4">
      <w:pPr>
        <w:pStyle w:val="Default"/>
        <w:jc w:val="center"/>
        <w:rPr>
          <w:b/>
          <w:bCs/>
          <w:sz w:val="36"/>
          <w:szCs w:val="36"/>
        </w:rPr>
      </w:pPr>
    </w:p>
    <w:p w14:paraId="33DE76FB" w14:textId="77777777" w:rsidR="007C41C4" w:rsidRDefault="007C41C4" w:rsidP="007C41C4">
      <w:pPr>
        <w:pStyle w:val="Default"/>
        <w:jc w:val="center"/>
        <w:rPr>
          <w:sz w:val="36"/>
          <w:szCs w:val="36"/>
        </w:rPr>
      </w:pPr>
      <w:r>
        <w:rPr>
          <w:b/>
          <w:bCs/>
          <w:sz w:val="36"/>
          <w:szCs w:val="36"/>
        </w:rPr>
        <w:t>IMPORTANT</w:t>
      </w:r>
    </w:p>
    <w:p w14:paraId="7887594A" w14:textId="77777777" w:rsidR="007C41C4" w:rsidRDefault="007C41C4" w:rsidP="007C41C4">
      <w:pPr>
        <w:pStyle w:val="Subtitle"/>
        <w:jc w:val="both"/>
        <w:rPr>
          <w:rFonts w:ascii="Times New Roman" w:hAnsi="Times New Roman"/>
          <w:b w:val="0"/>
          <w:sz w:val="22"/>
          <w:szCs w:val="22"/>
          <w:lang w:val="en-GB"/>
        </w:rPr>
      </w:pPr>
    </w:p>
    <w:p w14:paraId="7B79717A" w14:textId="77777777" w:rsidR="007C41C4" w:rsidRPr="00CB7DD3" w:rsidRDefault="007C41C4" w:rsidP="007C41C4">
      <w:pPr>
        <w:pStyle w:val="Subtitle"/>
        <w:jc w:val="both"/>
        <w:rPr>
          <w:rFonts w:ascii="Times New Roman" w:hAnsi="Times New Roman"/>
          <w:b w:val="0"/>
          <w:sz w:val="22"/>
          <w:szCs w:val="22"/>
          <w:lang w:val="en-GB"/>
        </w:rPr>
      </w:pPr>
      <w:r w:rsidRPr="00CB7DD3">
        <w:rPr>
          <w:rFonts w:ascii="Times New Roman" w:hAnsi="Times New Roman"/>
          <w:b w:val="0"/>
          <w:sz w:val="22"/>
          <w:szCs w:val="22"/>
          <w:lang w:val="en-GB"/>
        </w:rPr>
        <w:t xml:space="preserve">Even though the verification of eligibility is foreseen to be carried out only for the provisionally selected applicants at the end of the procedure, the Evaluation Committee may decide to verify this point at any previous step of the procedure. Consequently, any proposal found to be non-compliant with all the mandatory conditions set in these guidelines can be automatically rejected on that sole basis, at any stage of the procedure and without any prior notice or clarification request. Applicants are therefore strongly advised to fill in scrupulously the "Check List for Concept Note" (Annex A1) and the "Checklist for the Full Application form" (Annex A.2.). Any missing supporting document or any incoherence between the declarations and the supporting documents may lead to the rejection of the proposal on that sole basis. </w:t>
      </w:r>
    </w:p>
    <w:p w14:paraId="7D03506D" w14:textId="3623800B" w:rsidR="007C41C4" w:rsidRPr="00CB7DD3" w:rsidRDefault="007C41C4" w:rsidP="007C41C4">
      <w:pPr>
        <w:pStyle w:val="Subtitle"/>
        <w:jc w:val="both"/>
        <w:rPr>
          <w:rFonts w:ascii="Times New Roman" w:hAnsi="Times New Roman"/>
          <w:b w:val="0"/>
          <w:sz w:val="22"/>
          <w:szCs w:val="22"/>
          <w:lang w:val="en-GB"/>
        </w:rPr>
      </w:pPr>
      <w:r w:rsidRPr="00CB7DD3">
        <w:rPr>
          <w:rFonts w:ascii="Times New Roman" w:hAnsi="Times New Roman"/>
          <w:b w:val="0"/>
          <w:sz w:val="22"/>
          <w:szCs w:val="22"/>
          <w:lang w:val="en-GB"/>
        </w:rPr>
        <w:t xml:space="preserve">No modification of the partnership between the Concept Note and the Full Application will be allowed, only in exceptional cases, justified by force majeure. Force majeure shall mean any unforeseeable exceptional situation or event beyond the parties’ control which prevents either of them from fulfilling any of their obligations, is not attributable to error or negligence on their part and proves insurmountable in spite of all due diligence. In such cases, the applicant must clearly indicate the requested change and justify the request in </w:t>
      </w:r>
      <w:r w:rsidRPr="001007A4">
        <w:rPr>
          <w:rFonts w:ascii="Times New Roman" w:hAnsi="Times New Roman"/>
          <w:b w:val="0"/>
          <w:sz w:val="22"/>
          <w:szCs w:val="22"/>
          <w:lang w:val="en-GB"/>
        </w:rPr>
        <w:t xml:space="preserve">Annex A.2 </w:t>
      </w:r>
      <w:r w:rsidR="00D3320D" w:rsidRPr="001007A4">
        <w:rPr>
          <w:rFonts w:ascii="Times New Roman" w:hAnsi="Times New Roman"/>
          <w:b w:val="0"/>
          <w:sz w:val="22"/>
          <w:szCs w:val="22"/>
          <w:lang w:val="en-GB"/>
        </w:rPr>
        <w:t xml:space="preserve">section </w:t>
      </w:r>
      <w:r w:rsidR="00BD60B5" w:rsidRPr="001007A4">
        <w:rPr>
          <w:rFonts w:ascii="Times New Roman" w:hAnsi="Times New Roman"/>
          <w:b w:val="0"/>
          <w:sz w:val="22"/>
          <w:szCs w:val="22"/>
          <w:lang w:val="en-GB"/>
        </w:rPr>
        <w:t>2.1.1 (</w:t>
      </w:r>
      <w:proofErr w:type="gramStart"/>
      <w:r w:rsidR="00BD60B5" w:rsidRPr="001007A4">
        <w:rPr>
          <w:rFonts w:ascii="Times New Roman" w:hAnsi="Times New Roman"/>
          <w:b w:val="0"/>
          <w:sz w:val="22"/>
          <w:szCs w:val="22"/>
          <w:lang w:val="en-GB"/>
        </w:rPr>
        <w:t>iv</w:t>
      </w:r>
      <w:proofErr w:type="gramEnd"/>
      <w:r w:rsidR="00BD60B5" w:rsidRPr="001007A4">
        <w:rPr>
          <w:rFonts w:ascii="Times New Roman" w:hAnsi="Times New Roman"/>
          <w:b w:val="0"/>
          <w:sz w:val="22"/>
          <w:szCs w:val="22"/>
          <w:lang w:val="en-GB"/>
        </w:rPr>
        <w:t>).</w:t>
      </w:r>
      <w:r w:rsidR="00BD60B5">
        <w:rPr>
          <w:rFonts w:ascii="Times New Roman" w:hAnsi="Times New Roman"/>
          <w:b w:val="0"/>
          <w:sz w:val="22"/>
          <w:szCs w:val="22"/>
          <w:lang w:val="en-GB"/>
        </w:rPr>
        <w:t xml:space="preserve"> </w:t>
      </w:r>
      <w:r w:rsidRPr="00CB7DD3">
        <w:rPr>
          <w:rFonts w:ascii="Times New Roman" w:hAnsi="Times New Roman"/>
          <w:b w:val="0"/>
          <w:sz w:val="22"/>
          <w:szCs w:val="22"/>
          <w:lang w:val="en-GB"/>
        </w:rPr>
        <w:t xml:space="preserve">The validity of the justification provided will be examined during the evaluation of the Full Application. Should the justification not be deemed valid, the proposal may be rejected on that sole basis. </w:t>
      </w:r>
    </w:p>
    <w:p w14:paraId="2B27D864" w14:textId="771AD9C9" w:rsidR="00D13F09" w:rsidRPr="00525A06" w:rsidRDefault="00D13F09" w:rsidP="007C41C4">
      <w:pPr>
        <w:pStyle w:val="Subtitle"/>
        <w:jc w:val="both"/>
        <w:rPr>
          <w:rFonts w:ascii="Times New Roman" w:hAnsi="Times New Roman"/>
          <w:sz w:val="22"/>
          <w:szCs w:val="22"/>
          <w:lang w:val="en-GB"/>
        </w:rPr>
      </w:pPr>
      <w:r w:rsidRPr="00525A06">
        <w:rPr>
          <w:rFonts w:ascii="Times New Roman" w:hAnsi="Times New Roman"/>
          <w:sz w:val="22"/>
          <w:szCs w:val="22"/>
          <w:lang w:val="en-GB"/>
        </w:rPr>
        <w:t>Please note that all information encoded in PROSPECT must be exhaustive and in line with the content of the concept note. The administrative check will be performed taking into consideration only</w:t>
      </w:r>
      <w:r w:rsidR="00E45D22" w:rsidRPr="00525A06">
        <w:rPr>
          <w:rFonts w:ascii="Times New Roman" w:hAnsi="Times New Roman"/>
          <w:sz w:val="22"/>
          <w:szCs w:val="22"/>
          <w:lang w:val="en-GB"/>
        </w:rPr>
        <w:t xml:space="preserve"> the</w:t>
      </w:r>
      <w:r w:rsidRPr="00525A06">
        <w:rPr>
          <w:rFonts w:ascii="Times New Roman" w:hAnsi="Times New Roman"/>
          <w:sz w:val="22"/>
          <w:szCs w:val="22"/>
          <w:lang w:val="en-GB"/>
        </w:rPr>
        <w:t xml:space="preserve"> information available </w:t>
      </w:r>
      <w:r w:rsidR="00BD60B5">
        <w:rPr>
          <w:rFonts w:ascii="Times New Roman" w:hAnsi="Times New Roman"/>
          <w:sz w:val="22"/>
          <w:szCs w:val="22"/>
          <w:lang w:val="en-GB"/>
        </w:rPr>
        <w:t xml:space="preserve">in PROSPECT </w:t>
      </w:r>
      <w:r w:rsidRPr="00525A06">
        <w:rPr>
          <w:rFonts w:ascii="Times New Roman" w:hAnsi="Times New Roman"/>
          <w:sz w:val="22"/>
          <w:szCs w:val="22"/>
          <w:lang w:val="en-GB"/>
        </w:rPr>
        <w:t xml:space="preserve">in </w:t>
      </w:r>
      <w:r w:rsidR="00E45D22" w:rsidRPr="00525A06">
        <w:rPr>
          <w:rFonts w:ascii="Times New Roman" w:hAnsi="Times New Roman"/>
          <w:sz w:val="22"/>
          <w:szCs w:val="22"/>
          <w:lang w:val="en-GB"/>
        </w:rPr>
        <w:t>sections 1 - contact, 2 - project and 3 – co-applicants</w:t>
      </w:r>
      <w:r w:rsidRPr="00525A06">
        <w:rPr>
          <w:rFonts w:ascii="Times New Roman" w:hAnsi="Times New Roman"/>
          <w:sz w:val="22"/>
          <w:szCs w:val="22"/>
          <w:lang w:val="en-GB"/>
        </w:rPr>
        <w:t xml:space="preserve">. Please </w:t>
      </w:r>
      <w:r w:rsidR="00E45D22" w:rsidRPr="00525A06">
        <w:rPr>
          <w:rFonts w:ascii="Times New Roman" w:hAnsi="Times New Roman"/>
          <w:sz w:val="22"/>
          <w:szCs w:val="22"/>
          <w:lang w:val="en-GB"/>
        </w:rPr>
        <w:t>make sure</w:t>
      </w:r>
      <w:r w:rsidRPr="00525A06">
        <w:rPr>
          <w:rFonts w:ascii="Times New Roman" w:hAnsi="Times New Roman"/>
          <w:sz w:val="22"/>
          <w:szCs w:val="22"/>
          <w:lang w:val="en-GB"/>
        </w:rPr>
        <w:t xml:space="preserve"> that there are no inconsistencies between the information in PROSPECT and those in the concept note text</w:t>
      </w:r>
      <w:r w:rsidR="00E45D22" w:rsidRPr="00525A06">
        <w:rPr>
          <w:rFonts w:ascii="Times New Roman" w:hAnsi="Times New Roman"/>
          <w:sz w:val="22"/>
          <w:szCs w:val="22"/>
          <w:lang w:val="en-GB"/>
        </w:rPr>
        <w:t>.</w:t>
      </w:r>
    </w:p>
    <w:p w14:paraId="17301FB7" w14:textId="34DC8A3A" w:rsidR="00E45D22" w:rsidRPr="00525A06" w:rsidRDefault="00E45D22" w:rsidP="007C41C4">
      <w:pPr>
        <w:pStyle w:val="Subtitle"/>
        <w:jc w:val="both"/>
        <w:rPr>
          <w:rFonts w:ascii="Times New Roman" w:hAnsi="Times New Roman"/>
          <w:sz w:val="22"/>
          <w:szCs w:val="22"/>
          <w:lang w:val="en-GB"/>
        </w:rPr>
      </w:pPr>
      <w:r w:rsidRPr="00525A06">
        <w:rPr>
          <w:rFonts w:ascii="Times New Roman" w:hAnsi="Times New Roman"/>
          <w:sz w:val="22"/>
          <w:szCs w:val="22"/>
          <w:lang w:val="en-GB"/>
        </w:rPr>
        <w:t>Complain</w:t>
      </w:r>
      <w:r w:rsidR="00EA5E23">
        <w:rPr>
          <w:rFonts w:ascii="Times New Roman" w:hAnsi="Times New Roman"/>
          <w:sz w:val="22"/>
          <w:szCs w:val="22"/>
          <w:lang w:val="en-GB"/>
        </w:rPr>
        <w:t>t</w:t>
      </w:r>
      <w:r w:rsidRPr="00525A06">
        <w:rPr>
          <w:rFonts w:ascii="Times New Roman" w:hAnsi="Times New Roman"/>
          <w:sz w:val="22"/>
          <w:szCs w:val="22"/>
          <w:lang w:val="en-GB"/>
        </w:rPr>
        <w:t>s about administrative rejections related to this kind of inconsistencies will not be considered and will not lead to a modification of the decision.</w:t>
      </w:r>
    </w:p>
    <w:p w14:paraId="1BEC3689" w14:textId="77777777" w:rsidR="0007408E" w:rsidRPr="00347CC2" w:rsidRDefault="0007408E" w:rsidP="00416503">
      <w:pPr>
        <w:pageBreakBefore/>
        <w:spacing w:after="600"/>
        <w:jc w:val="center"/>
        <w:rPr>
          <w:sz w:val="32"/>
          <w:szCs w:val="32"/>
        </w:rPr>
      </w:pPr>
      <w:r w:rsidRPr="00347CC2">
        <w:rPr>
          <w:sz w:val="32"/>
          <w:szCs w:val="32"/>
        </w:rPr>
        <w:lastRenderedPageBreak/>
        <w:t>Table of contents</w:t>
      </w:r>
    </w:p>
    <w:p w14:paraId="3B18E068" w14:textId="77777777" w:rsidR="00342AFB" w:rsidRDefault="00EA7756">
      <w:pPr>
        <w:pStyle w:val="TOC1"/>
        <w:rPr>
          <w:rFonts w:asciiTheme="minorHAnsi" w:eastAsiaTheme="minorEastAsia" w:hAnsiTheme="minorHAnsi" w:cstheme="minorBidi"/>
          <w:b w:val="0"/>
          <w:caps w:val="0"/>
          <w:noProof/>
          <w:szCs w:val="22"/>
          <w:lang w:eastAsia="en-GB"/>
        </w:rPr>
      </w:pPr>
      <w:r w:rsidRPr="00807DAF">
        <w:rPr>
          <w:rFonts w:ascii="Times New Roman" w:hAnsi="Times New Roman"/>
          <w:b w:val="0"/>
          <w:caps w:val="0"/>
          <w:sz w:val="28"/>
          <w:szCs w:val="28"/>
        </w:rPr>
        <w:fldChar w:fldCharType="begin"/>
      </w:r>
      <w:r w:rsidRPr="00807DAF">
        <w:rPr>
          <w:rFonts w:ascii="Times New Roman" w:hAnsi="Times New Roman"/>
          <w:b w:val="0"/>
          <w:caps w:val="0"/>
          <w:sz w:val="28"/>
          <w:szCs w:val="28"/>
        </w:rPr>
        <w:instrText xml:space="preserve"> TOC \h \z \t "Guidelines 1,1,Guidelines 2,2,Guidelines 3,3" </w:instrText>
      </w:r>
      <w:r w:rsidRPr="00807DAF">
        <w:rPr>
          <w:rFonts w:ascii="Times New Roman" w:hAnsi="Times New Roman"/>
          <w:b w:val="0"/>
          <w:caps w:val="0"/>
          <w:sz w:val="28"/>
          <w:szCs w:val="28"/>
        </w:rPr>
        <w:fldChar w:fldCharType="separate"/>
      </w:r>
      <w:hyperlink w:anchor="_Toc487024632" w:history="1">
        <w:r w:rsidR="00342AFB" w:rsidRPr="003E4E93">
          <w:rPr>
            <w:rStyle w:val="Hyperlink"/>
            <w:rFonts w:cs="Times New Roman Bold"/>
            <w:noProof/>
          </w:rPr>
          <w:t>1</w:t>
        </w:r>
        <w:r w:rsidR="00342AFB">
          <w:rPr>
            <w:rFonts w:asciiTheme="minorHAnsi" w:eastAsiaTheme="minorEastAsia" w:hAnsiTheme="minorHAnsi" w:cstheme="minorBidi"/>
            <w:b w:val="0"/>
            <w:caps w:val="0"/>
            <w:noProof/>
            <w:szCs w:val="22"/>
            <w:lang w:eastAsia="en-GB"/>
          </w:rPr>
          <w:tab/>
        </w:r>
        <w:r w:rsidR="00342AFB" w:rsidRPr="003E4E93">
          <w:rPr>
            <w:rStyle w:val="Hyperlink"/>
            <w:noProof/>
          </w:rPr>
          <w:t>European Instrument For Democracy and Human Rights (EIDHR): 2017 Global Call for Proposals</w:t>
        </w:r>
        <w:r w:rsidR="00342AFB">
          <w:rPr>
            <w:noProof/>
            <w:webHidden/>
          </w:rPr>
          <w:tab/>
        </w:r>
        <w:r w:rsidR="00342AFB">
          <w:rPr>
            <w:noProof/>
            <w:webHidden/>
          </w:rPr>
          <w:fldChar w:fldCharType="begin"/>
        </w:r>
        <w:r w:rsidR="00342AFB">
          <w:rPr>
            <w:noProof/>
            <w:webHidden/>
          </w:rPr>
          <w:instrText xml:space="preserve"> PAGEREF _Toc487024632 \h </w:instrText>
        </w:r>
        <w:r w:rsidR="00342AFB">
          <w:rPr>
            <w:noProof/>
            <w:webHidden/>
          </w:rPr>
        </w:r>
        <w:r w:rsidR="00342AFB">
          <w:rPr>
            <w:noProof/>
            <w:webHidden/>
          </w:rPr>
          <w:fldChar w:fldCharType="separate"/>
        </w:r>
        <w:r w:rsidR="003F07E0">
          <w:rPr>
            <w:noProof/>
            <w:webHidden/>
          </w:rPr>
          <w:t>5</w:t>
        </w:r>
        <w:r w:rsidR="00342AFB">
          <w:rPr>
            <w:noProof/>
            <w:webHidden/>
          </w:rPr>
          <w:fldChar w:fldCharType="end"/>
        </w:r>
      </w:hyperlink>
    </w:p>
    <w:p w14:paraId="4465C98D" w14:textId="77777777" w:rsidR="00342AFB" w:rsidRDefault="00242059">
      <w:pPr>
        <w:pStyle w:val="TOC2"/>
        <w:rPr>
          <w:rFonts w:asciiTheme="minorHAnsi" w:eastAsiaTheme="minorEastAsia" w:hAnsiTheme="minorHAnsi" w:cstheme="minorBidi"/>
          <w:noProof/>
          <w:szCs w:val="22"/>
          <w:lang w:eastAsia="en-GB"/>
        </w:rPr>
      </w:pPr>
      <w:hyperlink w:anchor="_Toc487024633" w:history="1">
        <w:r w:rsidR="00342AFB" w:rsidRPr="003E4E93">
          <w:rPr>
            <w:rStyle w:val="Hyperlink"/>
            <w:rFonts w:cs="Times New Roman Bold"/>
            <w:noProof/>
          </w:rPr>
          <w:t>1.1</w:t>
        </w:r>
        <w:r w:rsidR="00342AFB">
          <w:rPr>
            <w:rFonts w:asciiTheme="minorHAnsi" w:eastAsiaTheme="minorEastAsia" w:hAnsiTheme="minorHAnsi" w:cstheme="minorBidi"/>
            <w:noProof/>
            <w:szCs w:val="22"/>
            <w:lang w:eastAsia="en-GB"/>
          </w:rPr>
          <w:tab/>
        </w:r>
        <w:r w:rsidR="00342AFB" w:rsidRPr="003E4E93">
          <w:rPr>
            <w:rStyle w:val="Hyperlink"/>
            <w:noProof/>
          </w:rPr>
          <w:t>Background</w:t>
        </w:r>
        <w:r w:rsidR="00342AFB">
          <w:rPr>
            <w:noProof/>
            <w:webHidden/>
          </w:rPr>
          <w:tab/>
        </w:r>
        <w:r w:rsidR="00342AFB">
          <w:rPr>
            <w:noProof/>
            <w:webHidden/>
          </w:rPr>
          <w:fldChar w:fldCharType="begin"/>
        </w:r>
        <w:r w:rsidR="00342AFB">
          <w:rPr>
            <w:noProof/>
            <w:webHidden/>
          </w:rPr>
          <w:instrText xml:space="preserve"> PAGEREF _Toc487024633 \h </w:instrText>
        </w:r>
        <w:r w:rsidR="00342AFB">
          <w:rPr>
            <w:noProof/>
            <w:webHidden/>
          </w:rPr>
        </w:r>
        <w:r w:rsidR="00342AFB">
          <w:rPr>
            <w:noProof/>
            <w:webHidden/>
          </w:rPr>
          <w:fldChar w:fldCharType="separate"/>
        </w:r>
        <w:r w:rsidR="003F07E0">
          <w:rPr>
            <w:noProof/>
            <w:webHidden/>
          </w:rPr>
          <w:t>5</w:t>
        </w:r>
        <w:r w:rsidR="00342AFB">
          <w:rPr>
            <w:noProof/>
            <w:webHidden/>
          </w:rPr>
          <w:fldChar w:fldCharType="end"/>
        </w:r>
      </w:hyperlink>
    </w:p>
    <w:p w14:paraId="0FF202EA" w14:textId="77777777" w:rsidR="00342AFB" w:rsidRDefault="00242059">
      <w:pPr>
        <w:pStyle w:val="TOC2"/>
        <w:rPr>
          <w:rFonts w:asciiTheme="minorHAnsi" w:eastAsiaTheme="minorEastAsia" w:hAnsiTheme="minorHAnsi" w:cstheme="minorBidi"/>
          <w:noProof/>
          <w:szCs w:val="22"/>
          <w:lang w:eastAsia="en-GB"/>
        </w:rPr>
      </w:pPr>
      <w:hyperlink w:anchor="_Toc487024634" w:history="1">
        <w:r w:rsidR="00342AFB" w:rsidRPr="003E4E93">
          <w:rPr>
            <w:rStyle w:val="Hyperlink"/>
            <w:rFonts w:cs="Times New Roman Bold"/>
            <w:noProof/>
          </w:rPr>
          <w:t>1.2</w:t>
        </w:r>
        <w:r w:rsidR="00342AFB">
          <w:rPr>
            <w:rFonts w:asciiTheme="minorHAnsi" w:eastAsiaTheme="minorEastAsia" w:hAnsiTheme="minorHAnsi" w:cstheme="minorBidi"/>
            <w:noProof/>
            <w:szCs w:val="22"/>
            <w:lang w:eastAsia="en-GB"/>
          </w:rPr>
          <w:tab/>
        </w:r>
        <w:r w:rsidR="00342AFB" w:rsidRPr="003E4E93">
          <w:rPr>
            <w:rStyle w:val="Hyperlink"/>
            <w:noProof/>
          </w:rPr>
          <w:t>Objectives of the programme and priority issues</w:t>
        </w:r>
        <w:r w:rsidR="00342AFB">
          <w:rPr>
            <w:noProof/>
            <w:webHidden/>
          </w:rPr>
          <w:tab/>
        </w:r>
        <w:r w:rsidR="00342AFB">
          <w:rPr>
            <w:noProof/>
            <w:webHidden/>
          </w:rPr>
          <w:fldChar w:fldCharType="begin"/>
        </w:r>
        <w:r w:rsidR="00342AFB">
          <w:rPr>
            <w:noProof/>
            <w:webHidden/>
          </w:rPr>
          <w:instrText xml:space="preserve"> PAGEREF _Toc487024634 \h </w:instrText>
        </w:r>
        <w:r w:rsidR="00342AFB">
          <w:rPr>
            <w:noProof/>
            <w:webHidden/>
          </w:rPr>
        </w:r>
        <w:r w:rsidR="00342AFB">
          <w:rPr>
            <w:noProof/>
            <w:webHidden/>
          </w:rPr>
          <w:fldChar w:fldCharType="separate"/>
        </w:r>
        <w:r w:rsidR="003F07E0">
          <w:rPr>
            <w:noProof/>
            <w:webHidden/>
          </w:rPr>
          <w:t>6</w:t>
        </w:r>
        <w:r w:rsidR="00342AFB">
          <w:rPr>
            <w:noProof/>
            <w:webHidden/>
          </w:rPr>
          <w:fldChar w:fldCharType="end"/>
        </w:r>
      </w:hyperlink>
    </w:p>
    <w:p w14:paraId="52667292" w14:textId="77777777" w:rsidR="00342AFB" w:rsidRDefault="00242059">
      <w:pPr>
        <w:pStyle w:val="TOC2"/>
        <w:rPr>
          <w:rFonts w:asciiTheme="minorHAnsi" w:eastAsiaTheme="minorEastAsia" w:hAnsiTheme="minorHAnsi" w:cstheme="minorBidi"/>
          <w:noProof/>
          <w:szCs w:val="22"/>
          <w:lang w:eastAsia="en-GB"/>
        </w:rPr>
      </w:pPr>
      <w:hyperlink w:anchor="_Toc487024635" w:history="1">
        <w:r w:rsidR="00342AFB" w:rsidRPr="003E4E93">
          <w:rPr>
            <w:rStyle w:val="Hyperlink"/>
            <w:noProof/>
          </w:rPr>
          <w:t>1.3</w:t>
        </w:r>
        <w:r w:rsidR="00342AFB">
          <w:rPr>
            <w:rFonts w:asciiTheme="minorHAnsi" w:eastAsiaTheme="minorEastAsia" w:hAnsiTheme="minorHAnsi" w:cstheme="minorBidi"/>
            <w:noProof/>
            <w:szCs w:val="22"/>
            <w:lang w:eastAsia="en-GB"/>
          </w:rPr>
          <w:tab/>
        </w:r>
        <w:r w:rsidR="00342AFB" w:rsidRPr="001007A4">
          <w:rPr>
            <w:rStyle w:val="Hyperlink"/>
            <w:noProof/>
          </w:rPr>
          <w:t>FINANCIAL ALLOCATION PROVIDED BY THE CONTRACTING AUTHORITY</w:t>
        </w:r>
        <w:r w:rsidR="00342AFB">
          <w:rPr>
            <w:noProof/>
            <w:webHidden/>
          </w:rPr>
          <w:tab/>
        </w:r>
        <w:r w:rsidR="00342AFB">
          <w:rPr>
            <w:noProof/>
            <w:webHidden/>
          </w:rPr>
          <w:fldChar w:fldCharType="begin"/>
        </w:r>
        <w:r w:rsidR="00342AFB">
          <w:rPr>
            <w:noProof/>
            <w:webHidden/>
          </w:rPr>
          <w:instrText xml:space="preserve"> PAGEREF _Toc487024635 \h </w:instrText>
        </w:r>
        <w:r w:rsidR="00342AFB">
          <w:rPr>
            <w:noProof/>
            <w:webHidden/>
          </w:rPr>
        </w:r>
        <w:r w:rsidR="00342AFB">
          <w:rPr>
            <w:noProof/>
            <w:webHidden/>
          </w:rPr>
          <w:fldChar w:fldCharType="separate"/>
        </w:r>
        <w:r w:rsidR="003F07E0">
          <w:rPr>
            <w:noProof/>
            <w:webHidden/>
          </w:rPr>
          <w:t>21</w:t>
        </w:r>
        <w:r w:rsidR="00342AFB">
          <w:rPr>
            <w:noProof/>
            <w:webHidden/>
          </w:rPr>
          <w:fldChar w:fldCharType="end"/>
        </w:r>
      </w:hyperlink>
    </w:p>
    <w:p w14:paraId="3F462148" w14:textId="77777777" w:rsidR="00342AFB" w:rsidRDefault="00242059">
      <w:pPr>
        <w:pStyle w:val="TOC1"/>
        <w:rPr>
          <w:rFonts w:asciiTheme="minorHAnsi" w:eastAsiaTheme="minorEastAsia" w:hAnsiTheme="minorHAnsi" w:cstheme="minorBidi"/>
          <w:b w:val="0"/>
          <w:caps w:val="0"/>
          <w:noProof/>
          <w:szCs w:val="22"/>
          <w:lang w:eastAsia="en-GB"/>
        </w:rPr>
      </w:pPr>
      <w:hyperlink w:anchor="_Toc487024636" w:history="1">
        <w:r w:rsidR="00342AFB" w:rsidRPr="003E4E93">
          <w:rPr>
            <w:rStyle w:val="Hyperlink"/>
            <w:rFonts w:cs="Times New Roman Bold"/>
            <w:noProof/>
          </w:rPr>
          <w:t>2</w:t>
        </w:r>
        <w:r w:rsidR="00342AFB">
          <w:rPr>
            <w:rFonts w:asciiTheme="minorHAnsi" w:eastAsiaTheme="minorEastAsia" w:hAnsiTheme="minorHAnsi" w:cstheme="minorBidi"/>
            <w:b w:val="0"/>
            <w:caps w:val="0"/>
            <w:noProof/>
            <w:szCs w:val="22"/>
            <w:lang w:eastAsia="en-GB"/>
          </w:rPr>
          <w:tab/>
        </w:r>
        <w:r w:rsidR="00342AFB" w:rsidRPr="003E4E93">
          <w:rPr>
            <w:rStyle w:val="Hyperlink"/>
            <w:noProof/>
          </w:rPr>
          <w:t>Rules FOR thIS call for proposalS</w:t>
        </w:r>
        <w:r w:rsidR="00342AFB">
          <w:rPr>
            <w:noProof/>
            <w:webHidden/>
          </w:rPr>
          <w:tab/>
        </w:r>
        <w:r w:rsidR="00342AFB">
          <w:rPr>
            <w:noProof/>
            <w:webHidden/>
          </w:rPr>
          <w:fldChar w:fldCharType="begin"/>
        </w:r>
        <w:r w:rsidR="00342AFB">
          <w:rPr>
            <w:noProof/>
            <w:webHidden/>
          </w:rPr>
          <w:instrText xml:space="preserve"> PAGEREF _Toc487024636 \h </w:instrText>
        </w:r>
        <w:r w:rsidR="00342AFB">
          <w:rPr>
            <w:noProof/>
            <w:webHidden/>
          </w:rPr>
        </w:r>
        <w:r w:rsidR="00342AFB">
          <w:rPr>
            <w:noProof/>
            <w:webHidden/>
          </w:rPr>
          <w:fldChar w:fldCharType="separate"/>
        </w:r>
        <w:r w:rsidR="003F07E0">
          <w:rPr>
            <w:noProof/>
            <w:webHidden/>
          </w:rPr>
          <w:t>22</w:t>
        </w:r>
        <w:r w:rsidR="00342AFB">
          <w:rPr>
            <w:noProof/>
            <w:webHidden/>
          </w:rPr>
          <w:fldChar w:fldCharType="end"/>
        </w:r>
      </w:hyperlink>
    </w:p>
    <w:p w14:paraId="0077A39F" w14:textId="77777777" w:rsidR="00342AFB" w:rsidRDefault="00242059">
      <w:pPr>
        <w:pStyle w:val="TOC2"/>
        <w:rPr>
          <w:rFonts w:asciiTheme="minorHAnsi" w:eastAsiaTheme="minorEastAsia" w:hAnsiTheme="minorHAnsi" w:cstheme="minorBidi"/>
          <w:noProof/>
          <w:szCs w:val="22"/>
          <w:lang w:eastAsia="en-GB"/>
        </w:rPr>
      </w:pPr>
      <w:hyperlink w:anchor="_Toc487024637" w:history="1">
        <w:r w:rsidR="00342AFB" w:rsidRPr="003E4E93">
          <w:rPr>
            <w:rStyle w:val="Hyperlink"/>
            <w:rFonts w:cs="Times New Roman Bold"/>
            <w:noProof/>
          </w:rPr>
          <w:t>2.1</w:t>
        </w:r>
        <w:r w:rsidR="00342AFB">
          <w:rPr>
            <w:rFonts w:asciiTheme="minorHAnsi" w:eastAsiaTheme="minorEastAsia" w:hAnsiTheme="minorHAnsi" w:cstheme="minorBidi"/>
            <w:noProof/>
            <w:szCs w:val="22"/>
            <w:lang w:eastAsia="en-GB"/>
          </w:rPr>
          <w:tab/>
        </w:r>
        <w:r w:rsidR="00342AFB" w:rsidRPr="003E4E93">
          <w:rPr>
            <w:rStyle w:val="Hyperlink"/>
            <w:noProof/>
          </w:rPr>
          <w:t>Eligibility criteria</w:t>
        </w:r>
        <w:r w:rsidR="00342AFB">
          <w:rPr>
            <w:noProof/>
            <w:webHidden/>
          </w:rPr>
          <w:tab/>
        </w:r>
        <w:r w:rsidR="00342AFB">
          <w:rPr>
            <w:noProof/>
            <w:webHidden/>
          </w:rPr>
          <w:fldChar w:fldCharType="begin"/>
        </w:r>
        <w:r w:rsidR="00342AFB">
          <w:rPr>
            <w:noProof/>
            <w:webHidden/>
          </w:rPr>
          <w:instrText xml:space="preserve"> PAGEREF _Toc487024637 \h </w:instrText>
        </w:r>
        <w:r w:rsidR="00342AFB">
          <w:rPr>
            <w:noProof/>
            <w:webHidden/>
          </w:rPr>
        </w:r>
        <w:r w:rsidR="00342AFB">
          <w:rPr>
            <w:noProof/>
            <w:webHidden/>
          </w:rPr>
          <w:fldChar w:fldCharType="separate"/>
        </w:r>
        <w:r w:rsidR="003F07E0">
          <w:rPr>
            <w:noProof/>
            <w:webHidden/>
          </w:rPr>
          <w:t>22</w:t>
        </w:r>
        <w:r w:rsidR="00342AFB">
          <w:rPr>
            <w:noProof/>
            <w:webHidden/>
          </w:rPr>
          <w:fldChar w:fldCharType="end"/>
        </w:r>
      </w:hyperlink>
    </w:p>
    <w:p w14:paraId="08CCC3C9" w14:textId="77777777" w:rsidR="00342AFB" w:rsidRDefault="00242059">
      <w:pPr>
        <w:pStyle w:val="TOC3"/>
        <w:rPr>
          <w:rFonts w:asciiTheme="minorHAnsi" w:eastAsiaTheme="minorEastAsia" w:hAnsiTheme="minorHAnsi" w:cstheme="minorBidi"/>
          <w:sz w:val="22"/>
          <w:szCs w:val="22"/>
          <w:lang w:eastAsia="en-GB"/>
        </w:rPr>
      </w:pPr>
      <w:hyperlink w:anchor="_Toc487024638" w:history="1">
        <w:r w:rsidR="00342AFB" w:rsidRPr="003E4E93">
          <w:rPr>
            <w:rStyle w:val="Hyperlink"/>
            <w:rFonts w:ascii="Times New Roman Bold" w:hAnsi="Times New Roman Bold"/>
          </w:rPr>
          <w:t>2.1.1</w:t>
        </w:r>
        <w:r w:rsidR="00342AFB">
          <w:rPr>
            <w:rFonts w:asciiTheme="minorHAnsi" w:eastAsiaTheme="minorEastAsia" w:hAnsiTheme="minorHAnsi" w:cstheme="minorBidi"/>
            <w:sz w:val="22"/>
            <w:szCs w:val="22"/>
            <w:lang w:eastAsia="en-GB"/>
          </w:rPr>
          <w:tab/>
        </w:r>
        <w:r w:rsidR="00342AFB" w:rsidRPr="003E4E93">
          <w:rPr>
            <w:rStyle w:val="Hyperlink"/>
          </w:rPr>
          <w:t>Eligibility of applicants (i.e. lead applicant and co-applicant(s))</w:t>
        </w:r>
        <w:r w:rsidR="00342AFB">
          <w:rPr>
            <w:webHidden/>
          </w:rPr>
          <w:tab/>
        </w:r>
        <w:r w:rsidR="00342AFB">
          <w:rPr>
            <w:webHidden/>
          </w:rPr>
          <w:fldChar w:fldCharType="begin"/>
        </w:r>
        <w:r w:rsidR="00342AFB">
          <w:rPr>
            <w:webHidden/>
          </w:rPr>
          <w:instrText xml:space="preserve"> PAGEREF _Toc487024638 \h </w:instrText>
        </w:r>
        <w:r w:rsidR="00342AFB">
          <w:rPr>
            <w:webHidden/>
          </w:rPr>
        </w:r>
        <w:r w:rsidR="00342AFB">
          <w:rPr>
            <w:webHidden/>
          </w:rPr>
          <w:fldChar w:fldCharType="separate"/>
        </w:r>
        <w:r w:rsidR="003F07E0">
          <w:rPr>
            <w:webHidden/>
          </w:rPr>
          <w:t>22</w:t>
        </w:r>
        <w:r w:rsidR="00342AFB">
          <w:rPr>
            <w:webHidden/>
          </w:rPr>
          <w:fldChar w:fldCharType="end"/>
        </w:r>
      </w:hyperlink>
    </w:p>
    <w:p w14:paraId="327FB244" w14:textId="77777777" w:rsidR="00342AFB" w:rsidRDefault="00242059">
      <w:pPr>
        <w:pStyle w:val="TOC3"/>
        <w:rPr>
          <w:rFonts w:asciiTheme="minorHAnsi" w:eastAsiaTheme="minorEastAsia" w:hAnsiTheme="minorHAnsi" w:cstheme="minorBidi"/>
          <w:sz w:val="22"/>
          <w:szCs w:val="22"/>
          <w:lang w:eastAsia="en-GB"/>
        </w:rPr>
      </w:pPr>
      <w:hyperlink w:anchor="_Toc487024639" w:history="1">
        <w:r w:rsidR="00342AFB" w:rsidRPr="003E4E93">
          <w:rPr>
            <w:rStyle w:val="Hyperlink"/>
            <w:rFonts w:ascii="Times New Roman Bold" w:hAnsi="Times New Roman Bold"/>
          </w:rPr>
          <w:t>2.1.2</w:t>
        </w:r>
        <w:r w:rsidR="00342AFB">
          <w:rPr>
            <w:rFonts w:asciiTheme="minorHAnsi" w:eastAsiaTheme="minorEastAsia" w:hAnsiTheme="minorHAnsi" w:cstheme="minorBidi"/>
            <w:sz w:val="22"/>
            <w:szCs w:val="22"/>
            <w:lang w:eastAsia="en-GB"/>
          </w:rPr>
          <w:tab/>
        </w:r>
        <w:r w:rsidR="00342AFB" w:rsidRPr="003E4E93">
          <w:rPr>
            <w:rStyle w:val="Hyperlink"/>
          </w:rPr>
          <w:t>Affiliated entities</w:t>
        </w:r>
        <w:r w:rsidR="00342AFB">
          <w:rPr>
            <w:webHidden/>
          </w:rPr>
          <w:tab/>
        </w:r>
        <w:r w:rsidR="00342AFB">
          <w:rPr>
            <w:webHidden/>
          </w:rPr>
          <w:fldChar w:fldCharType="begin"/>
        </w:r>
        <w:r w:rsidR="00342AFB">
          <w:rPr>
            <w:webHidden/>
          </w:rPr>
          <w:instrText xml:space="preserve"> PAGEREF _Toc487024639 \h </w:instrText>
        </w:r>
        <w:r w:rsidR="00342AFB">
          <w:rPr>
            <w:webHidden/>
          </w:rPr>
        </w:r>
        <w:r w:rsidR="00342AFB">
          <w:rPr>
            <w:webHidden/>
          </w:rPr>
          <w:fldChar w:fldCharType="separate"/>
        </w:r>
        <w:r w:rsidR="003F07E0">
          <w:rPr>
            <w:webHidden/>
          </w:rPr>
          <w:t>24</w:t>
        </w:r>
        <w:r w:rsidR="00342AFB">
          <w:rPr>
            <w:webHidden/>
          </w:rPr>
          <w:fldChar w:fldCharType="end"/>
        </w:r>
      </w:hyperlink>
    </w:p>
    <w:p w14:paraId="67E69B2D" w14:textId="77777777" w:rsidR="00342AFB" w:rsidRDefault="00242059">
      <w:pPr>
        <w:pStyle w:val="TOC3"/>
        <w:rPr>
          <w:rFonts w:asciiTheme="minorHAnsi" w:eastAsiaTheme="minorEastAsia" w:hAnsiTheme="minorHAnsi" w:cstheme="minorBidi"/>
          <w:sz w:val="22"/>
          <w:szCs w:val="22"/>
          <w:lang w:eastAsia="en-GB"/>
        </w:rPr>
      </w:pPr>
      <w:hyperlink w:anchor="_Toc487024640" w:history="1">
        <w:r w:rsidR="00342AFB" w:rsidRPr="003E4E93">
          <w:rPr>
            <w:rStyle w:val="Hyperlink"/>
            <w:rFonts w:ascii="Times New Roman Bold" w:hAnsi="Times New Roman Bold"/>
          </w:rPr>
          <w:t>2.1.3</w:t>
        </w:r>
        <w:r w:rsidR="00342AFB">
          <w:rPr>
            <w:rFonts w:asciiTheme="minorHAnsi" w:eastAsiaTheme="minorEastAsia" w:hAnsiTheme="minorHAnsi" w:cstheme="minorBidi"/>
            <w:sz w:val="22"/>
            <w:szCs w:val="22"/>
            <w:lang w:eastAsia="en-GB"/>
          </w:rPr>
          <w:tab/>
        </w:r>
        <w:r w:rsidR="00342AFB" w:rsidRPr="003E4E93">
          <w:rPr>
            <w:rStyle w:val="Hyperlink"/>
          </w:rPr>
          <w:t>Associates and Contractors</w:t>
        </w:r>
        <w:r w:rsidR="00342AFB">
          <w:rPr>
            <w:webHidden/>
          </w:rPr>
          <w:tab/>
        </w:r>
        <w:r w:rsidR="00342AFB">
          <w:rPr>
            <w:webHidden/>
          </w:rPr>
          <w:fldChar w:fldCharType="begin"/>
        </w:r>
        <w:r w:rsidR="00342AFB">
          <w:rPr>
            <w:webHidden/>
          </w:rPr>
          <w:instrText xml:space="preserve"> PAGEREF _Toc487024640 \h </w:instrText>
        </w:r>
        <w:r w:rsidR="00342AFB">
          <w:rPr>
            <w:webHidden/>
          </w:rPr>
        </w:r>
        <w:r w:rsidR="00342AFB">
          <w:rPr>
            <w:webHidden/>
          </w:rPr>
          <w:fldChar w:fldCharType="separate"/>
        </w:r>
        <w:r w:rsidR="003F07E0">
          <w:rPr>
            <w:webHidden/>
          </w:rPr>
          <w:t>26</w:t>
        </w:r>
        <w:r w:rsidR="00342AFB">
          <w:rPr>
            <w:webHidden/>
          </w:rPr>
          <w:fldChar w:fldCharType="end"/>
        </w:r>
      </w:hyperlink>
    </w:p>
    <w:p w14:paraId="14DC05F3" w14:textId="77777777" w:rsidR="00342AFB" w:rsidRDefault="00242059">
      <w:pPr>
        <w:pStyle w:val="TOC3"/>
        <w:rPr>
          <w:rFonts w:asciiTheme="minorHAnsi" w:eastAsiaTheme="minorEastAsia" w:hAnsiTheme="minorHAnsi" w:cstheme="minorBidi"/>
          <w:sz w:val="22"/>
          <w:szCs w:val="22"/>
          <w:lang w:eastAsia="en-GB"/>
        </w:rPr>
      </w:pPr>
      <w:hyperlink w:anchor="_Toc487024641" w:history="1">
        <w:r w:rsidR="00342AFB" w:rsidRPr="003E4E93">
          <w:rPr>
            <w:rStyle w:val="Hyperlink"/>
            <w:rFonts w:ascii="Times New Roman Bold" w:hAnsi="Times New Roman Bold"/>
          </w:rPr>
          <w:t>2.1.4</w:t>
        </w:r>
        <w:r w:rsidR="00342AFB">
          <w:rPr>
            <w:rFonts w:asciiTheme="minorHAnsi" w:eastAsiaTheme="minorEastAsia" w:hAnsiTheme="minorHAnsi" w:cstheme="minorBidi"/>
            <w:sz w:val="22"/>
            <w:szCs w:val="22"/>
            <w:lang w:eastAsia="en-GB"/>
          </w:rPr>
          <w:tab/>
        </w:r>
        <w:r w:rsidR="00342AFB" w:rsidRPr="003E4E93">
          <w:rPr>
            <w:rStyle w:val="Hyperlink"/>
          </w:rPr>
          <w:t>Eligible actions: actions for which an application may be made</w:t>
        </w:r>
        <w:r w:rsidR="00342AFB">
          <w:rPr>
            <w:webHidden/>
          </w:rPr>
          <w:tab/>
        </w:r>
        <w:r w:rsidR="00342AFB">
          <w:rPr>
            <w:webHidden/>
          </w:rPr>
          <w:fldChar w:fldCharType="begin"/>
        </w:r>
        <w:r w:rsidR="00342AFB">
          <w:rPr>
            <w:webHidden/>
          </w:rPr>
          <w:instrText xml:space="preserve"> PAGEREF _Toc487024641 \h </w:instrText>
        </w:r>
        <w:r w:rsidR="00342AFB">
          <w:rPr>
            <w:webHidden/>
          </w:rPr>
        </w:r>
        <w:r w:rsidR="00342AFB">
          <w:rPr>
            <w:webHidden/>
          </w:rPr>
          <w:fldChar w:fldCharType="separate"/>
        </w:r>
        <w:r w:rsidR="003F07E0">
          <w:rPr>
            <w:webHidden/>
          </w:rPr>
          <w:t>26</w:t>
        </w:r>
        <w:r w:rsidR="00342AFB">
          <w:rPr>
            <w:webHidden/>
          </w:rPr>
          <w:fldChar w:fldCharType="end"/>
        </w:r>
      </w:hyperlink>
    </w:p>
    <w:p w14:paraId="57DCE90F" w14:textId="77777777" w:rsidR="00342AFB" w:rsidRDefault="00242059">
      <w:pPr>
        <w:pStyle w:val="TOC3"/>
        <w:rPr>
          <w:rFonts w:asciiTheme="minorHAnsi" w:eastAsiaTheme="minorEastAsia" w:hAnsiTheme="minorHAnsi" w:cstheme="minorBidi"/>
          <w:sz w:val="22"/>
          <w:szCs w:val="22"/>
          <w:lang w:eastAsia="en-GB"/>
        </w:rPr>
      </w:pPr>
      <w:hyperlink w:anchor="_Toc487024642" w:history="1">
        <w:r w:rsidR="00342AFB" w:rsidRPr="003E4E93">
          <w:rPr>
            <w:rStyle w:val="Hyperlink"/>
            <w:rFonts w:ascii="Times New Roman Bold" w:hAnsi="Times New Roman Bold"/>
          </w:rPr>
          <w:t>2.1.5</w:t>
        </w:r>
        <w:r w:rsidR="00342AFB">
          <w:rPr>
            <w:rFonts w:asciiTheme="minorHAnsi" w:eastAsiaTheme="minorEastAsia" w:hAnsiTheme="minorHAnsi" w:cstheme="minorBidi"/>
            <w:sz w:val="22"/>
            <w:szCs w:val="22"/>
            <w:lang w:eastAsia="en-GB"/>
          </w:rPr>
          <w:tab/>
        </w:r>
        <w:r w:rsidR="00342AFB" w:rsidRPr="003E4E93">
          <w:rPr>
            <w:rStyle w:val="Hyperlink"/>
          </w:rPr>
          <w:t>Eligibility of costs: costs that can be included</w:t>
        </w:r>
        <w:r w:rsidR="00342AFB">
          <w:rPr>
            <w:webHidden/>
          </w:rPr>
          <w:tab/>
        </w:r>
        <w:r w:rsidR="00342AFB">
          <w:rPr>
            <w:webHidden/>
          </w:rPr>
          <w:fldChar w:fldCharType="begin"/>
        </w:r>
        <w:r w:rsidR="00342AFB">
          <w:rPr>
            <w:webHidden/>
          </w:rPr>
          <w:instrText xml:space="preserve"> PAGEREF _Toc487024642 \h </w:instrText>
        </w:r>
        <w:r w:rsidR="00342AFB">
          <w:rPr>
            <w:webHidden/>
          </w:rPr>
        </w:r>
        <w:r w:rsidR="00342AFB">
          <w:rPr>
            <w:webHidden/>
          </w:rPr>
          <w:fldChar w:fldCharType="separate"/>
        </w:r>
        <w:r w:rsidR="003F07E0">
          <w:rPr>
            <w:webHidden/>
          </w:rPr>
          <w:t>29</w:t>
        </w:r>
        <w:r w:rsidR="00342AFB">
          <w:rPr>
            <w:webHidden/>
          </w:rPr>
          <w:fldChar w:fldCharType="end"/>
        </w:r>
      </w:hyperlink>
    </w:p>
    <w:p w14:paraId="50E5BD9D" w14:textId="77777777" w:rsidR="00342AFB" w:rsidRDefault="00242059">
      <w:pPr>
        <w:pStyle w:val="TOC2"/>
        <w:rPr>
          <w:rFonts w:asciiTheme="minorHAnsi" w:eastAsiaTheme="minorEastAsia" w:hAnsiTheme="minorHAnsi" w:cstheme="minorBidi"/>
          <w:noProof/>
          <w:szCs w:val="22"/>
          <w:lang w:eastAsia="en-GB"/>
        </w:rPr>
      </w:pPr>
      <w:hyperlink w:anchor="_Toc487024643" w:history="1">
        <w:r w:rsidR="00342AFB" w:rsidRPr="003E4E93">
          <w:rPr>
            <w:rStyle w:val="Hyperlink"/>
            <w:rFonts w:cs="Times New Roman Bold"/>
            <w:noProof/>
          </w:rPr>
          <w:t>2.2</w:t>
        </w:r>
        <w:r w:rsidR="00342AFB">
          <w:rPr>
            <w:rFonts w:asciiTheme="minorHAnsi" w:eastAsiaTheme="minorEastAsia" w:hAnsiTheme="minorHAnsi" w:cstheme="minorBidi"/>
            <w:noProof/>
            <w:szCs w:val="22"/>
            <w:lang w:eastAsia="en-GB"/>
          </w:rPr>
          <w:tab/>
        </w:r>
        <w:r w:rsidR="00342AFB" w:rsidRPr="003E4E93">
          <w:rPr>
            <w:rStyle w:val="Hyperlink"/>
            <w:noProof/>
          </w:rPr>
          <w:t>How to apply and the procedures to follow</w:t>
        </w:r>
        <w:r w:rsidR="00342AFB">
          <w:rPr>
            <w:noProof/>
            <w:webHidden/>
          </w:rPr>
          <w:tab/>
        </w:r>
        <w:r w:rsidR="00342AFB">
          <w:rPr>
            <w:noProof/>
            <w:webHidden/>
          </w:rPr>
          <w:fldChar w:fldCharType="begin"/>
        </w:r>
        <w:r w:rsidR="00342AFB">
          <w:rPr>
            <w:noProof/>
            <w:webHidden/>
          </w:rPr>
          <w:instrText xml:space="preserve"> PAGEREF _Toc487024643 \h </w:instrText>
        </w:r>
        <w:r w:rsidR="00342AFB">
          <w:rPr>
            <w:noProof/>
            <w:webHidden/>
          </w:rPr>
        </w:r>
        <w:r w:rsidR="00342AFB">
          <w:rPr>
            <w:noProof/>
            <w:webHidden/>
          </w:rPr>
          <w:fldChar w:fldCharType="separate"/>
        </w:r>
        <w:r w:rsidR="003F07E0">
          <w:rPr>
            <w:noProof/>
            <w:webHidden/>
          </w:rPr>
          <w:t>32</w:t>
        </w:r>
        <w:r w:rsidR="00342AFB">
          <w:rPr>
            <w:noProof/>
            <w:webHidden/>
          </w:rPr>
          <w:fldChar w:fldCharType="end"/>
        </w:r>
      </w:hyperlink>
    </w:p>
    <w:p w14:paraId="18A80FB9" w14:textId="77777777" w:rsidR="00342AFB" w:rsidRDefault="00242059">
      <w:pPr>
        <w:pStyle w:val="TOC3"/>
        <w:rPr>
          <w:rFonts w:asciiTheme="minorHAnsi" w:eastAsiaTheme="minorEastAsia" w:hAnsiTheme="minorHAnsi" w:cstheme="minorBidi"/>
          <w:sz w:val="22"/>
          <w:szCs w:val="22"/>
          <w:lang w:eastAsia="en-GB"/>
        </w:rPr>
      </w:pPr>
      <w:hyperlink w:anchor="_Toc487024644" w:history="1">
        <w:r w:rsidR="00342AFB" w:rsidRPr="003E4E93">
          <w:rPr>
            <w:rStyle w:val="Hyperlink"/>
            <w:rFonts w:ascii="Times New Roman Bold" w:hAnsi="Times New Roman Bold"/>
          </w:rPr>
          <w:t>2.2.1</w:t>
        </w:r>
        <w:r w:rsidR="00342AFB">
          <w:rPr>
            <w:rFonts w:asciiTheme="minorHAnsi" w:eastAsiaTheme="minorEastAsia" w:hAnsiTheme="minorHAnsi" w:cstheme="minorBidi"/>
            <w:sz w:val="22"/>
            <w:szCs w:val="22"/>
            <w:lang w:eastAsia="en-GB"/>
          </w:rPr>
          <w:tab/>
        </w:r>
        <w:r w:rsidR="00342AFB" w:rsidRPr="003E4E93">
          <w:rPr>
            <w:rStyle w:val="Hyperlink"/>
          </w:rPr>
          <w:t>Concept note content</w:t>
        </w:r>
        <w:r w:rsidR="00342AFB">
          <w:rPr>
            <w:webHidden/>
          </w:rPr>
          <w:tab/>
        </w:r>
        <w:r w:rsidR="00342AFB">
          <w:rPr>
            <w:webHidden/>
          </w:rPr>
          <w:fldChar w:fldCharType="begin"/>
        </w:r>
        <w:r w:rsidR="00342AFB">
          <w:rPr>
            <w:webHidden/>
          </w:rPr>
          <w:instrText xml:space="preserve"> PAGEREF _Toc487024644 \h </w:instrText>
        </w:r>
        <w:r w:rsidR="00342AFB">
          <w:rPr>
            <w:webHidden/>
          </w:rPr>
        </w:r>
        <w:r w:rsidR="00342AFB">
          <w:rPr>
            <w:webHidden/>
          </w:rPr>
          <w:fldChar w:fldCharType="separate"/>
        </w:r>
        <w:r w:rsidR="003F07E0">
          <w:rPr>
            <w:webHidden/>
          </w:rPr>
          <w:t>33</w:t>
        </w:r>
        <w:r w:rsidR="00342AFB">
          <w:rPr>
            <w:webHidden/>
          </w:rPr>
          <w:fldChar w:fldCharType="end"/>
        </w:r>
      </w:hyperlink>
    </w:p>
    <w:p w14:paraId="026FDDF7" w14:textId="77777777" w:rsidR="00342AFB" w:rsidRDefault="00242059">
      <w:pPr>
        <w:pStyle w:val="TOC3"/>
        <w:rPr>
          <w:rFonts w:asciiTheme="minorHAnsi" w:eastAsiaTheme="minorEastAsia" w:hAnsiTheme="minorHAnsi" w:cstheme="minorBidi"/>
          <w:sz w:val="22"/>
          <w:szCs w:val="22"/>
          <w:lang w:eastAsia="en-GB"/>
        </w:rPr>
      </w:pPr>
      <w:hyperlink w:anchor="_Toc487024645" w:history="1">
        <w:r w:rsidR="00342AFB" w:rsidRPr="003E4E93">
          <w:rPr>
            <w:rStyle w:val="Hyperlink"/>
            <w:rFonts w:ascii="Times New Roman Bold" w:hAnsi="Times New Roman Bold"/>
          </w:rPr>
          <w:t>2.2.2</w:t>
        </w:r>
        <w:r w:rsidR="00342AFB">
          <w:rPr>
            <w:rFonts w:asciiTheme="minorHAnsi" w:eastAsiaTheme="minorEastAsia" w:hAnsiTheme="minorHAnsi" w:cstheme="minorBidi"/>
            <w:sz w:val="22"/>
            <w:szCs w:val="22"/>
            <w:lang w:eastAsia="en-GB"/>
          </w:rPr>
          <w:tab/>
        </w:r>
        <w:r w:rsidR="00342AFB" w:rsidRPr="003E4E93">
          <w:rPr>
            <w:rStyle w:val="Hyperlink"/>
          </w:rPr>
          <w:t>Where and how to send concept notes</w:t>
        </w:r>
        <w:r w:rsidR="00342AFB">
          <w:rPr>
            <w:webHidden/>
          </w:rPr>
          <w:tab/>
        </w:r>
        <w:r w:rsidR="00342AFB">
          <w:rPr>
            <w:webHidden/>
          </w:rPr>
          <w:fldChar w:fldCharType="begin"/>
        </w:r>
        <w:r w:rsidR="00342AFB">
          <w:rPr>
            <w:webHidden/>
          </w:rPr>
          <w:instrText xml:space="preserve"> PAGEREF _Toc487024645 \h </w:instrText>
        </w:r>
        <w:r w:rsidR="00342AFB">
          <w:rPr>
            <w:webHidden/>
          </w:rPr>
        </w:r>
        <w:r w:rsidR="00342AFB">
          <w:rPr>
            <w:webHidden/>
          </w:rPr>
          <w:fldChar w:fldCharType="separate"/>
        </w:r>
        <w:r w:rsidR="003F07E0">
          <w:rPr>
            <w:webHidden/>
          </w:rPr>
          <w:t>34</w:t>
        </w:r>
        <w:r w:rsidR="00342AFB">
          <w:rPr>
            <w:webHidden/>
          </w:rPr>
          <w:fldChar w:fldCharType="end"/>
        </w:r>
      </w:hyperlink>
    </w:p>
    <w:p w14:paraId="18A2F139" w14:textId="77777777" w:rsidR="00342AFB" w:rsidRDefault="00242059">
      <w:pPr>
        <w:pStyle w:val="TOC3"/>
        <w:rPr>
          <w:rFonts w:asciiTheme="minorHAnsi" w:eastAsiaTheme="minorEastAsia" w:hAnsiTheme="minorHAnsi" w:cstheme="minorBidi"/>
          <w:sz w:val="22"/>
          <w:szCs w:val="22"/>
          <w:lang w:eastAsia="en-GB"/>
        </w:rPr>
      </w:pPr>
      <w:hyperlink w:anchor="_Toc487024646" w:history="1">
        <w:r w:rsidR="00342AFB" w:rsidRPr="003E4E93">
          <w:rPr>
            <w:rStyle w:val="Hyperlink"/>
            <w:rFonts w:ascii="Times New Roman Bold" w:hAnsi="Times New Roman Bold"/>
          </w:rPr>
          <w:t>2.2.3</w:t>
        </w:r>
        <w:r w:rsidR="00342AFB">
          <w:rPr>
            <w:rFonts w:asciiTheme="minorHAnsi" w:eastAsiaTheme="minorEastAsia" w:hAnsiTheme="minorHAnsi" w:cstheme="minorBidi"/>
            <w:sz w:val="22"/>
            <w:szCs w:val="22"/>
            <w:lang w:eastAsia="en-GB"/>
          </w:rPr>
          <w:tab/>
        </w:r>
        <w:r w:rsidR="00342AFB" w:rsidRPr="003E4E93">
          <w:rPr>
            <w:rStyle w:val="Hyperlink"/>
          </w:rPr>
          <w:t>Deadline for submission of concept notes</w:t>
        </w:r>
        <w:r w:rsidR="00342AFB">
          <w:rPr>
            <w:webHidden/>
          </w:rPr>
          <w:tab/>
        </w:r>
        <w:r w:rsidR="00342AFB">
          <w:rPr>
            <w:webHidden/>
          </w:rPr>
          <w:fldChar w:fldCharType="begin"/>
        </w:r>
        <w:r w:rsidR="00342AFB">
          <w:rPr>
            <w:webHidden/>
          </w:rPr>
          <w:instrText xml:space="preserve"> PAGEREF _Toc487024646 \h </w:instrText>
        </w:r>
        <w:r w:rsidR="00342AFB">
          <w:rPr>
            <w:webHidden/>
          </w:rPr>
        </w:r>
        <w:r w:rsidR="00342AFB">
          <w:rPr>
            <w:webHidden/>
          </w:rPr>
          <w:fldChar w:fldCharType="separate"/>
        </w:r>
        <w:r w:rsidR="003F07E0">
          <w:rPr>
            <w:webHidden/>
          </w:rPr>
          <w:t>35</w:t>
        </w:r>
        <w:r w:rsidR="00342AFB">
          <w:rPr>
            <w:webHidden/>
          </w:rPr>
          <w:fldChar w:fldCharType="end"/>
        </w:r>
      </w:hyperlink>
    </w:p>
    <w:p w14:paraId="3E0CDCCB" w14:textId="77777777" w:rsidR="00342AFB" w:rsidRDefault="00242059">
      <w:pPr>
        <w:pStyle w:val="TOC3"/>
        <w:rPr>
          <w:rFonts w:asciiTheme="minorHAnsi" w:eastAsiaTheme="minorEastAsia" w:hAnsiTheme="minorHAnsi" w:cstheme="minorBidi"/>
          <w:sz w:val="22"/>
          <w:szCs w:val="22"/>
          <w:lang w:eastAsia="en-GB"/>
        </w:rPr>
      </w:pPr>
      <w:hyperlink w:anchor="_Toc487024647" w:history="1">
        <w:r w:rsidR="00342AFB" w:rsidRPr="003E4E93">
          <w:rPr>
            <w:rStyle w:val="Hyperlink"/>
            <w:rFonts w:ascii="Times New Roman Bold" w:hAnsi="Times New Roman Bold"/>
          </w:rPr>
          <w:t>2.2.4</w:t>
        </w:r>
        <w:r w:rsidR="00342AFB">
          <w:rPr>
            <w:rFonts w:asciiTheme="minorHAnsi" w:eastAsiaTheme="minorEastAsia" w:hAnsiTheme="minorHAnsi" w:cstheme="minorBidi"/>
            <w:sz w:val="22"/>
            <w:szCs w:val="22"/>
            <w:lang w:eastAsia="en-GB"/>
          </w:rPr>
          <w:tab/>
        </w:r>
        <w:r w:rsidR="00342AFB" w:rsidRPr="003E4E93">
          <w:rPr>
            <w:rStyle w:val="Hyperlink"/>
          </w:rPr>
          <w:t>Further information about concept notes</w:t>
        </w:r>
        <w:r w:rsidR="00342AFB">
          <w:rPr>
            <w:webHidden/>
          </w:rPr>
          <w:tab/>
        </w:r>
        <w:r w:rsidR="00342AFB">
          <w:rPr>
            <w:webHidden/>
          </w:rPr>
          <w:fldChar w:fldCharType="begin"/>
        </w:r>
        <w:r w:rsidR="00342AFB">
          <w:rPr>
            <w:webHidden/>
          </w:rPr>
          <w:instrText xml:space="preserve"> PAGEREF _Toc487024647 \h </w:instrText>
        </w:r>
        <w:r w:rsidR="00342AFB">
          <w:rPr>
            <w:webHidden/>
          </w:rPr>
        </w:r>
        <w:r w:rsidR="00342AFB">
          <w:rPr>
            <w:webHidden/>
          </w:rPr>
          <w:fldChar w:fldCharType="separate"/>
        </w:r>
        <w:r w:rsidR="003F07E0">
          <w:rPr>
            <w:webHidden/>
          </w:rPr>
          <w:t>36</w:t>
        </w:r>
        <w:r w:rsidR="00342AFB">
          <w:rPr>
            <w:webHidden/>
          </w:rPr>
          <w:fldChar w:fldCharType="end"/>
        </w:r>
      </w:hyperlink>
    </w:p>
    <w:p w14:paraId="0E7F345C" w14:textId="77777777" w:rsidR="00342AFB" w:rsidRDefault="00242059">
      <w:pPr>
        <w:pStyle w:val="TOC3"/>
        <w:rPr>
          <w:rFonts w:asciiTheme="minorHAnsi" w:eastAsiaTheme="minorEastAsia" w:hAnsiTheme="minorHAnsi" w:cstheme="minorBidi"/>
          <w:sz w:val="22"/>
          <w:szCs w:val="22"/>
          <w:lang w:eastAsia="en-GB"/>
        </w:rPr>
      </w:pPr>
      <w:hyperlink w:anchor="_Toc487024648" w:history="1">
        <w:r w:rsidR="00342AFB" w:rsidRPr="003E4E93">
          <w:rPr>
            <w:rStyle w:val="Hyperlink"/>
            <w:rFonts w:ascii="Times New Roman Bold" w:hAnsi="Times New Roman Bold"/>
          </w:rPr>
          <w:t>2.2.5</w:t>
        </w:r>
        <w:r w:rsidR="00342AFB">
          <w:rPr>
            <w:rFonts w:asciiTheme="minorHAnsi" w:eastAsiaTheme="minorEastAsia" w:hAnsiTheme="minorHAnsi" w:cstheme="minorBidi"/>
            <w:sz w:val="22"/>
            <w:szCs w:val="22"/>
            <w:lang w:eastAsia="en-GB"/>
          </w:rPr>
          <w:tab/>
        </w:r>
        <w:r w:rsidR="00342AFB" w:rsidRPr="003E4E93">
          <w:rPr>
            <w:rStyle w:val="Hyperlink"/>
          </w:rPr>
          <w:t>Full applications</w:t>
        </w:r>
        <w:r w:rsidR="00342AFB">
          <w:rPr>
            <w:webHidden/>
          </w:rPr>
          <w:tab/>
        </w:r>
        <w:r w:rsidR="00342AFB">
          <w:rPr>
            <w:webHidden/>
          </w:rPr>
          <w:fldChar w:fldCharType="begin"/>
        </w:r>
        <w:r w:rsidR="00342AFB">
          <w:rPr>
            <w:webHidden/>
          </w:rPr>
          <w:instrText xml:space="preserve"> PAGEREF _Toc487024648 \h </w:instrText>
        </w:r>
        <w:r w:rsidR="00342AFB">
          <w:rPr>
            <w:webHidden/>
          </w:rPr>
        </w:r>
        <w:r w:rsidR="00342AFB">
          <w:rPr>
            <w:webHidden/>
          </w:rPr>
          <w:fldChar w:fldCharType="separate"/>
        </w:r>
        <w:r w:rsidR="003F07E0">
          <w:rPr>
            <w:webHidden/>
          </w:rPr>
          <w:t>36</w:t>
        </w:r>
        <w:r w:rsidR="00342AFB">
          <w:rPr>
            <w:webHidden/>
          </w:rPr>
          <w:fldChar w:fldCharType="end"/>
        </w:r>
      </w:hyperlink>
    </w:p>
    <w:p w14:paraId="41087461" w14:textId="77777777" w:rsidR="00342AFB" w:rsidRDefault="00242059">
      <w:pPr>
        <w:pStyle w:val="TOC3"/>
        <w:rPr>
          <w:rFonts w:asciiTheme="minorHAnsi" w:eastAsiaTheme="minorEastAsia" w:hAnsiTheme="minorHAnsi" w:cstheme="minorBidi"/>
          <w:sz w:val="22"/>
          <w:szCs w:val="22"/>
          <w:lang w:eastAsia="en-GB"/>
        </w:rPr>
      </w:pPr>
      <w:hyperlink w:anchor="_Toc487024649" w:history="1">
        <w:r w:rsidR="00342AFB" w:rsidRPr="003E4E93">
          <w:rPr>
            <w:rStyle w:val="Hyperlink"/>
            <w:rFonts w:ascii="Times New Roman Bold" w:hAnsi="Times New Roman Bold"/>
          </w:rPr>
          <w:t>2.2.6</w:t>
        </w:r>
        <w:r w:rsidR="00342AFB">
          <w:rPr>
            <w:rFonts w:asciiTheme="minorHAnsi" w:eastAsiaTheme="minorEastAsia" w:hAnsiTheme="minorHAnsi" w:cstheme="minorBidi"/>
            <w:sz w:val="22"/>
            <w:szCs w:val="22"/>
            <w:lang w:eastAsia="en-GB"/>
          </w:rPr>
          <w:tab/>
        </w:r>
        <w:r w:rsidR="00342AFB" w:rsidRPr="003E4E93">
          <w:rPr>
            <w:rStyle w:val="Hyperlink"/>
          </w:rPr>
          <w:t>Where and how to send full applications</w:t>
        </w:r>
        <w:r w:rsidR="00342AFB">
          <w:rPr>
            <w:webHidden/>
          </w:rPr>
          <w:tab/>
        </w:r>
        <w:r w:rsidR="00342AFB">
          <w:rPr>
            <w:webHidden/>
          </w:rPr>
          <w:fldChar w:fldCharType="begin"/>
        </w:r>
        <w:r w:rsidR="00342AFB">
          <w:rPr>
            <w:webHidden/>
          </w:rPr>
          <w:instrText xml:space="preserve"> PAGEREF _Toc487024649 \h </w:instrText>
        </w:r>
        <w:r w:rsidR="00342AFB">
          <w:rPr>
            <w:webHidden/>
          </w:rPr>
        </w:r>
        <w:r w:rsidR="00342AFB">
          <w:rPr>
            <w:webHidden/>
          </w:rPr>
          <w:fldChar w:fldCharType="separate"/>
        </w:r>
        <w:r w:rsidR="003F07E0">
          <w:rPr>
            <w:webHidden/>
          </w:rPr>
          <w:t>37</w:t>
        </w:r>
        <w:r w:rsidR="00342AFB">
          <w:rPr>
            <w:webHidden/>
          </w:rPr>
          <w:fldChar w:fldCharType="end"/>
        </w:r>
      </w:hyperlink>
    </w:p>
    <w:p w14:paraId="7C658799" w14:textId="77777777" w:rsidR="00342AFB" w:rsidRDefault="00242059">
      <w:pPr>
        <w:pStyle w:val="TOC3"/>
        <w:rPr>
          <w:rFonts w:asciiTheme="minorHAnsi" w:eastAsiaTheme="minorEastAsia" w:hAnsiTheme="minorHAnsi" w:cstheme="minorBidi"/>
          <w:sz w:val="22"/>
          <w:szCs w:val="22"/>
          <w:lang w:eastAsia="en-GB"/>
        </w:rPr>
      </w:pPr>
      <w:hyperlink w:anchor="_Toc487024650" w:history="1">
        <w:r w:rsidR="00342AFB" w:rsidRPr="003E4E93">
          <w:rPr>
            <w:rStyle w:val="Hyperlink"/>
            <w:rFonts w:ascii="Times New Roman Bold" w:hAnsi="Times New Roman Bold"/>
          </w:rPr>
          <w:t>2.2.7</w:t>
        </w:r>
        <w:r w:rsidR="00342AFB">
          <w:rPr>
            <w:rFonts w:asciiTheme="minorHAnsi" w:eastAsiaTheme="minorEastAsia" w:hAnsiTheme="minorHAnsi" w:cstheme="minorBidi"/>
            <w:sz w:val="22"/>
            <w:szCs w:val="22"/>
            <w:lang w:eastAsia="en-GB"/>
          </w:rPr>
          <w:tab/>
        </w:r>
        <w:r w:rsidR="00342AFB" w:rsidRPr="003E4E93">
          <w:rPr>
            <w:rStyle w:val="Hyperlink"/>
          </w:rPr>
          <w:t>Deadline for submission of full applications</w:t>
        </w:r>
        <w:r w:rsidR="00342AFB">
          <w:rPr>
            <w:webHidden/>
          </w:rPr>
          <w:tab/>
        </w:r>
        <w:r w:rsidR="00342AFB">
          <w:rPr>
            <w:webHidden/>
          </w:rPr>
          <w:fldChar w:fldCharType="begin"/>
        </w:r>
        <w:r w:rsidR="00342AFB">
          <w:rPr>
            <w:webHidden/>
          </w:rPr>
          <w:instrText xml:space="preserve"> PAGEREF _Toc487024650 \h </w:instrText>
        </w:r>
        <w:r w:rsidR="00342AFB">
          <w:rPr>
            <w:webHidden/>
          </w:rPr>
        </w:r>
        <w:r w:rsidR="00342AFB">
          <w:rPr>
            <w:webHidden/>
          </w:rPr>
          <w:fldChar w:fldCharType="separate"/>
        </w:r>
        <w:r w:rsidR="003F07E0">
          <w:rPr>
            <w:webHidden/>
          </w:rPr>
          <w:t>38</w:t>
        </w:r>
        <w:r w:rsidR="00342AFB">
          <w:rPr>
            <w:webHidden/>
          </w:rPr>
          <w:fldChar w:fldCharType="end"/>
        </w:r>
      </w:hyperlink>
    </w:p>
    <w:p w14:paraId="5E0FFB08" w14:textId="77777777" w:rsidR="00342AFB" w:rsidRDefault="00242059">
      <w:pPr>
        <w:pStyle w:val="TOC3"/>
        <w:rPr>
          <w:rFonts w:asciiTheme="minorHAnsi" w:eastAsiaTheme="minorEastAsia" w:hAnsiTheme="minorHAnsi" w:cstheme="minorBidi"/>
          <w:sz w:val="22"/>
          <w:szCs w:val="22"/>
          <w:lang w:eastAsia="en-GB"/>
        </w:rPr>
      </w:pPr>
      <w:hyperlink w:anchor="_Toc487024651" w:history="1">
        <w:r w:rsidR="00342AFB" w:rsidRPr="003E4E93">
          <w:rPr>
            <w:rStyle w:val="Hyperlink"/>
            <w:rFonts w:ascii="Times New Roman Bold" w:hAnsi="Times New Roman Bold"/>
          </w:rPr>
          <w:t>2.2.8</w:t>
        </w:r>
        <w:r w:rsidR="00342AFB">
          <w:rPr>
            <w:rFonts w:asciiTheme="minorHAnsi" w:eastAsiaTheme="minorEastAsia" w:hAnsiTheme="minorHAnsi" w:cstheme="minorBidi"/>
            <w:sz w:val="22"/>
            <w:szCs w:val="22"/>
            <w:lang w:eastAsia="en-GB"/>
          </w:rPr>
          <w:tab/>
        </w:r>
        <w:r w:rsidR="00342AFB" w:rsidRPr="003E4E93">
          <w:rPr>
            <w:rStyle w:val="Hyperlink"/>
          </w:rPr>
          <w:t>Further information about full applications</w:t>
        </w:r>
        <w:r w:rsidR="00342AFB">
          <w:rPr>
            <w:webHidden/>
          </w:rPr>
          <w:tab/>
        </w:r>
        <w:r w:rsidR="00342AFB">
          <w:rPr>
            <w:webHidden/>
          </w:rPr>
          <w:fldChar w:fldCharType="begin"/>
        </w:r>
        <w:r w:rsidR="00342AFB">
          <w:rPr>
            <w:webHidden/>
          </w:rPr>
          <w:instrText xml:space="preserve"> PAGEREF _Toc487024651 \h </w:instrText>
        </w:r>
        <w:r w:rsidR="00342AFB">
          <w:rPr>
            <w:webHidden/>
          </w:rPr>
        </w:r>
        <w:r w:rsidR="00342AFB">
          <w:rPr>
            <w:webHidden/>
          </w:rPr>
          <w:fldChar w:fldCharType="separate"/>
        </w:r>
        <w:r w:rsidR="003F07E0">
          <w:rPr>
            <w:webHidden/>
          </w:rPr>
          <w:t>39</w:t>
        </w:r>
        <w:r w:rsidR="00342AFB">
          <w:rPr>
            <w:webHidden/>
          </w:rPr>
          <w:fldChar w:fldCharType="end"/>
        </w:r>
      </w:hyperlink>
    </w:p>
    <w:p w14:paraId="261E44E3" w14:textId="77777777" w:rsidR="00342AFB" w:rsidRDefault="00242059">
      <w:pPr>
        <w:pStyle w:val="TOC2"/>
        <w:rPr>
          <w:rFonts w:asciiTheme="minorHAnsi" w:eastAsiaTheme="minorEastAsia" w:hAnsiTheme="minorHAnsi" w:cstheme="minorBidi"/>
          <w:noProof/>
          <w:szCs w:val="22"/>
          <w:lang w:eastAsia="en-GB"/>
        </w:rPr>
      </w:pPr>
      <w:hyperlink w:anchor="_Toc487024652" w:history="1">
        <w:r w:rsidR="00342AFB" w:rsidRPr="003E4E93">
          <w:rPr>
            <w:rStyle w:val="Hyperlink"/>
            <w:rFonts w:cs="Times New Roman Bold"/>
            <w:noProof/>
          </w:rPr>
          <w:t>2.3</w:t>
        </w:r>
        <w:r w:rsidR="00342AFB">
          <w:rPr>
            <w:rFonts w:asciiTheme="minorHAnsi" w:eastAsiaTheme="minorEastAsia" w:hAnsiTheme="minorHAnsi" w:cstheme="minorBidi"/>
            <w:noProof/>
            <w:szCs w:val="22"/>
            <w:lang w:eastAsia="en-GB"/>
          </w:rPr>
          <w:tab/>
        </w:r>
        <w:r w:rsidR="00342AFB" w:rsidRPr="003E4E93">
          <w:rPr>
            <w:rStyle w:val="Hyperlink"/>
            <w:noProof/>
          </w:rPr>
          <w:t>Evaluation and selection of applications</w:t>
        </w:r>
        <w:r w:rsidR="00342AFB">
          <w:rPr>
            <w:noProof/>
            <w:webHidden/>
          </w:rPr>
          <w:tab/>
        </w:r>
        <w:r w:rsidR="00342AFB">
          <w:rPr>
            <w:noProof/>
            <w:webHidden/>
          </w:rPr>
          <w:fldChar w:fldCharType="begin"/>
        </w:r>
        <w:r w:rsidR="00342AFB">
          <w:rPr>
            <w:noProof/>
            <w:webHidden/>
          </w:rPr>
          <w:instrText xml:space="preserve"> PAGEREF _Toc487024652 \h </w:instrText>
        </w:r>
        <w:r w:rsidR="00342AFB">
          <w:rPr>
            <w:noProof/>
            <w:webHidden/>
          </w:rPr>
        </w:r>
        <w:r w:rsidR="00342AFB">
          <w:rPr>
            <w:noProof/>
            <w:webHidden/>
          </w:rPr>
          <w:fldChar w:fldCharType="separate"/>
        </w:r>
        <w:r w:rsidR="003F07E0">
          <w:rPr>
            <w:noProof/>
            <w:webHidden/>
          </w:rPr>
          <w:t>40</w:t>
        </w:r>
        <w:r w:rsidR="00342AFB">
          <w:rPr>
            <w:noProof/>
            <w:webHidden/>
          </w:rPr>
          <w:fldChar w:fldCharType="end"/>
        </w:r>
      </w:hyperlink>
    </w:p>
    <w:p w14:paraId="72459047" w14:textId="77777777" w:rsidR="00342AFB" w:rsidRDefault="00242059">
      <w:pPr>
        <w:pStyle w:val="TOC2"/>
        <w:rPr>
          <w:rFonts w:asciiTheme="minorHAnsi" w:eastAsiaTheme="minorEastAsia" w:hAnsiTheme="minorHAnsi" w:cstheme="minorBidi"/>
          <w:noProof/>
          <w:szCs w:val="22"/>
          <w:lang w:eastAsia="en-GB"/>
        </w:rPr>
      </w:pPr>
      <w:hyperlink w:anchor="_Toc487024653" w:history="1">
        <w:r w:rsidR="00342AFB" w:rsidRPr="003E4E93">
          <w:rPr>
            <w:rStyle w:val="Hyperlink"/>
            <w:rFonts w:cs="Times New Roman Bold"/>
            <w:noProof/>
          </w:rPr>
          <w:t>2.4</w:t>
        </w:r>
        <w:r w:rsidR="00342AFB">
          <w:rPr>
            <w:rFonts w:asciiTheme="minorHAnsi" w:eastAsiaTheme="minorEastAsia" w:hAnsiTheme="minorHAnsi" w:cstheme="minorBidi"/>
            <w:noProof/>
            <w:szCs w:val="22"/>
            <w:lang w:eastAsia="en-GB"/>
          </w:rPr>
          <w:tab/>
        </w:r>
        <w:r w:rsidR="00342AFB" w:rsidRPr="003E4E93">
          <w:rPr>
            <w:rStyle w:val="Hyperlink"/>
            <w:noProof/>
          </w:rPr>
          <w:t>Submission of supporting documents for provisionally selected applications</w:t>
        </w:r>
        <w:r w:rsidR="00342AFB">
          <w:rPr>
            <w:noProof/>
            <w:webHidden/>
          </w:rPr>
          <w:tab/>
        </w:r>
        <w:r w:rsidR="00342AFB">
          <w:rPr>
            <w:noProof/>
            <w:webHidden/>
          </w:rPr>
          <w:fldChar w:fldCharType="begin"/>
        </w:r>
        <w:r w:rsidR="00342AFB">
          <w:rPr>
            <w:noProof/>
            <w:webHidden/>
          </w:rPr>
          <w:instrText xml:space="preserve"> PAGEREF _Toc487024653 \h </w:instrText>
        </w:r>
        <w:r w:rsidR="00342AFB">
          <w:rPr>
            <w:noProof/>
            <w:webHidden/>
          </w:rPr>
        </w:r>
        <w:r w:rsidR="00342AFB">
          <w:rPr>
            <w:noProof/>
            <w:webHidden/>
          </w:rPr>
          <w:fldChar w:fldCharType="separate"/>
        </w:r>
        <w:r w:rsidR="003F07E0">
          <w:rPr>
            <w:noProof/>
            <w:webHidden/>
          </w:rPr>
          <w:t>47</w:t>
        </w:r>
        <w:r w:rsidR="00342AFB">
          <w:rPr>
            <w:noProof/>
            <w:webHidden/>
          </w:rPr>
          <w:fldChar w:fldCharType="end"/>
        </w:r>
      </w:hyperlink>
    </w:p>
    <w:p w14:paraId="71BCEF7F" w14:textId="77777777" w:rsidR="00342AFB" w:rsidRDefault="00242059">
      <w:pPr>
        <w:pStyle w:val="TOC2"/>
        <w:rPr>
          <w:rFonts w:asciiTheme="minorHAnsi" w:eastAsiaTheme="minorEastAsia" w:hAnsiTheme="minorHAnsi" w:cstheme="minorBidi"/>
          <w:noProof/>
          <w:szCs w:val="22"/>
          <w:lang w:eastAsia="en-GB"/>
        </w:rPr>
      </w:pPr>
      <w:hyperlink w:anchor="_Toc487024654" w:history="1">
        <w:r w:rsidR="00342AFB" w:rsidRPr="003E4E93">
          <w:rPr>
            <w:rStyle w:val="Hyperlink"/>
            <w:rFonts w:cs="Times New Roman Bold"/>
            <w:noProof/>
          </w:rPr>
          <w:t>2.5</w:t>
        </w:r>
        <w:r w:rsidR="00342AFB">
          <w:rPr>
            <w:rFonts w:asciiTheme="minorHAnsi" w:eastAsiaTheme="minorEastAsia" w:hAnsiTheme="minorHAnsi" w:cstheme="minorBidi"/>
            <w:noProof/>
            <w:szCs w:val="22"/>
            <w:lang w:eastAsia="en-GB"/>
          </w:rPr>
          <w:tab/>
        </w:r>
        <w:r w:rsidR="00342AFB" w:rsidRPr="003E4E93">
          <w:rPr>
            <w:rStyle w:val="Hyperlink"/>
            <w:noProof/>
          </w:rPr>
          <w:t>Notification of the Contracting Authority’s decision</w:t>
        </w:r>
        <w:r w:rsidR="00342AFB">
          <w:rPr>
            <w:noProof/>
            <w:webHidden/>
          </w:rPr>
          <w:tab/>
        </w:r>
        <w:r w:rsidR="00342AFB">
          <w:rPr>
            <w:noProof/>
            <w:webHidden/>
          </w:rPr>
          <w:fldChar w:fldCharType="begin"/>
        </w:r>
        <w:r w:rsidR="00342AFB">
          <w:rPr>
            <w:noProof/>
            <w:webHidden/>
          </w:rPr>
          <w:instrText xml:space="preserve"> PAGEREF _Toc487024654 \h </w:instrText>
        </w:r>
        <w:r w:rsidR="00342AFB">
          <w:rPr>
            <w:noProof/>
            <w:webHidden/>
          </w:rPr>
        </w:r>
        <w:r w:rsidR="00342AFB">
          <w:rPr>
            <w:noProof/>
            <w:webHidden/>
          </w:rPr>
          <w:fldChar w:fldCharType="separate"/>
        </w:r>
        <w:r w:rsidR="003F07E0">
          <w:rPr>
            <w:noProof/>
            <w:webHidden/>
          </w:rPr>
          <w:t>48</w:t>
        </w:r>
        <w:r w:rsidR="00342AFB">
          <w:rPr>
            <w:noProof/>
            <w:webHidden/>
          </w:rPr>
          <w:fldChar w:fldCharType="end"/>
        </w:r>
      </w:hyperlink>
    </w:p>
    <w:p w14:paraId="783CD724" w14:textId="77777777" w:rsidR="00342AFB" w:rsidRDefault="00242059">
      <w:pPr>
        <w:pStyle w:val="TOC3"/>
        <w:rPr>
          <w:rFonts w:asciiTheme="minorHAnsi" w:eastAsiaTheme="minorEastAsia" w:hAnsiTheme="minorHAnsi" w:cstheme="minorBidi"/>
          <w:sz w:val="22"/>
          <w:szCs w:val="22"/>
          <w:lang w:eastAsia="en-GB"/>
        </w:rPr>
      </w:pPr>
      <w:hyperlink w:anchor="_Toc487024655" w:history="1">
        <w:r w:rsidR="00342AFB" w:rsidRPr="003E4E93">
          <w:rPr>
            <w:rStyle w:val="Hyperlink"/>
            <w:rFonts w:ascii="Times New Roman Bold" w:hAnsi="Times New Roman Bold"/>
          </w:rPr>
          <w:t>2.5.1</w:t>
        </w:r>
        <w:r w:rsidR="00342AFB">
          <w:rPr>
            <w:rFonts w:asciiTheme="minorHAnsi" w:eastAsiaTheme="minorEastAsia" w:hAnsiTheme="minorHAnsi" w:cstheme="minorBidi"/>
            <w:sz w:val="22"/>
            <w:szCs w:val="22"/>
            <w:lang w:eastAsia="en-GB"/>
          </w:rPr>
          <w:tab/>
        </w:r>
        <w:r w:rsidR="00342AFB" w:rsidRPr="003E4E93">
          <w:rPr>
            <w:rStyle w:val="Hyperlink"/>
          </w:rPr>
          <w:t>Content of the decision</w:t>
        </w:r>
        <w:r w:rsidR="00342AFB">
          <w:rPr>
            <w:webHidden/>
          </w:rPr>
          <w:tab/>
        </w:r>
        <w:r w:rsidR="00342AFB">
          <w:rPr>
            <w:webHidden/>
          </w:rPr>
          <w:fldChar w:fldCharType="begin"/>
        </w:r>
        <w:r w:rsidR="00342AFB">
          <w:rPr>
            <w:webHidden/>
          </w:rPr>
          <w:instrText xml:space="preserve"> PAGEREF _Toc487024655 \h </w:instrText>
        </w:r>
        <w:r w:rsidR="00342AFB">
          <w:rPr>
            <w:webHidden/>
          </w:rPr>
        </w:r>
        <w:r w:rsidR="00342AFB">
          <w:rPr>
            <w:webHidden/>
          </w:rPr>
          <w:fldChar w:fldCharType="separate"/>
        </w:r>
        <w:r w:rsidR="003F07E0">
          <w:rPr>
            <w:webHidden/>
          </w:rPr>
          <w:t>48</w:t>
        </w:r>
        <w:r w:rsidR="00342AFB">
          <w:rPr>
            <w:webHidden/>
          </w:rPr>
          <w:fldChar w:fldCharType="end"/>
        </w:r>
      </w:hyperlink>
    </w:p>
    <w:p w14:paraId="51167198" w14:textId="77777777" w:rsidR="00342AFB" w:rsidRDefault="00242059">
      <w:pPr>
        <w:pStyle w:val="TOC3"/>
        <w:rPr>
          <w:rFonts w:asciiTheme="minorHAnsi" w:eastAsiaTheme="minorEastAsia" w:hAnsiTheme="minorHAnsi" w:cstheme="minorBidi"/>
          <w:sz w:val="22"/>
          <w:szCs w:val="22"/>
          <w:lang w:eastAsia="en-GB"/>
        </w:rPr>
      </w:pPr>
      <w:hyperlink w:anchor="_Toc487024656" w:history="1">
        <w:r w:rsidR="00342AFB" w:rsidRPr="003E4E93">
          <w:rPr>
            <w:rStyle w:val="Hyperlink"/>
            <w:rFonts w:ascii="Times New Roman Bold" w:hAnsi="Times New Roman Bold"/>
          </w:rPr>
          <w:t>2.5.2</w:t>
        </w:r>
        <w:r w:rsidR="00342AFB">
          <w:rPr>
            <w:rFonts w:asciiTheme="minorHAnsi" w:eastAsiaTheme="minorEastAsia" w:hAnsiTheme="minorHAnsi" w:cstheme="minorBidi"/>
            <w:sz w:val="22"/>
            <w:szCs w:val="22"/>
            <w:lang w:eastAsia="en-GB"/>
          </w:rPr>
          <w:tab/>
        </w:r>
        <w:r w:rsidR="00342AFB" w:rsidRPr="003E4E93">
          <w:rPr>
            <w:rStyle w:val="Hyperlink"/>
          </w:rPr>
          <w:t>Indicative timetable</w:t>
        </w:r>
        <w:r w:rsidR="00342AFB">
          <w:rPr>
            <w:webHidden/>
          </w:rPr>
          <w:tab/>
        </w:r>
        <w:r w:rsidR="00342AFB">
          <w:rPr>
            <w:webHidden/>
          </w:rPr>
          <w:fldChar w:fldCharType="begin"/>
        </w:r>
        <w:r w:rsidR="00342AFB">
          <w:rPr>
            <w:webHidden/>
          </w:rPr>
          <w:instrText xml:space="preserve"> PAGEREF _Toc487024656 \h </w:instrText>
        </w:r>
        <w:r w:rsidR="00342AFB">
          <w:rPr>
            <w:webHidden/>
          </w:rPr>
        </w:r>
        <w:r w:rsidR="00342AFB">
          <w:rPr>
            <w:webHidden/>
          </w:rPr>
          <w:fldChar w:fldCharType="separate"/>
        </w:r>
        <w:r w:rsidR="003F07E0">
          <w:rPr>
            <w:webHidden/>
          </w:rPr>
          <w:t>50</w:t>
        </w:r>
        <w:r w:rsidR="00342AFB">
          <w:rPr>
            <w:webHidden/>
          </w:rPr>
          <w:fldChar w:fldCharType="end"/>
        </w:r>
      </w:hyperlink>
    </w:p>
    <w:p w14:paraId="6510B540" w14:textId="77777777" w:rsidR="00342AFB" w:rsidRDefault="00242059">
      <w:pPr>
        <w:pStyle w:val="TOC2"/>
        <w:rPr>
          <w:rFonts w:asciiTheme="minorHAnsi" w:eastAsiaTheme="minorEastAsia" w:hAnsiTheme="minorHAnsi" w:cstheme="minorBidi"/>
          <w:noProof/>
          <w:szCs w:val="22"/>
          <w:lang w:eastAsia="en-GB"/>
        </w:rPr>
      </w:pPr>
      <w:hyperlink w:anchor="_Toc487024657" w:history="1">
        <w:r w:rsidR="00342AFB" w:rsidRPr="003E4E93">
          <w:rPr>
            <w:rStyle w:val="Hyperlink"/>
            <w:rFonts w:cs="Times New Roman Bold"/>
            <w:noProof/>
          </w:rPr>
          <w:t>2.6</w:t>
        </w:r>
        <w:r w:rsidR="00342AFB">
          <w:rPr>
            <w:rFonts w:asciiTheme="minorHAnsi" w:eastAsiaTheme="minorEastAsia" w:hAnsiTheme="minorHAnsi" w:cstheme="minorBidi"/>
            <w:noProof/>
            <w:szCs w:val="22"/>
            <w:lang w:eastAsia="en-GB"/>
          </w:rPr>
          <w:tab/>
        </w:r>
        <w:r w:rsidR="00342AFB" w:rsidRPr="003E4E93">
          <w:rPr>
            <w:rStyle w:val="Hyperlink"/>
            <w:noProof/>
          </w:rPr>
          <w:t>Conditions for implementation after the Contracting Authority’s decision to award a grant</w:t>
        </w:r>
        <w:r w:rsidR="00342AFB">
          <w:rPr>
            <w:noProof/>
            <w:webHidden/>
          </w:rPr>
          <w:tab/>
        </w:r>
        <w:r w:rsidR="00342AFB">
          <w:rPr>
            <w:noProof/>
            <w:webHidden/>
          </w:rPr>
          <w:fldChar w:fldCharType="begin"/>
        </w:r>
        <w:r w:rsidR="00342AFB">
          <w:rPr>
            <w:noProof/>
            <w:webHidden/>
          </w:rPr>
          <w:instrText xml:space="preserve"> PAGEREF _Toc487024657 \h </w:instrText>
        </w:r>
        <w:r w:rsidR="00342AFB">
          <w:rPr>
            <w:noProof/>
            <w:webHidden/>
          </w:rPr>
        </w:r>
        <w:r w:rsidR="00342AFB">
          <w:rPr>
            <w:noProof/>
            <w:webHidden/>
          </w:rPr>
          <w:fldChar w:fldCharType="separate"/>
        </w:r>
        <w:r w:rsidR="003F07E0">
          <w:rPr>
            <w:noProof/>
            <w:webHidden/>
          </w:rPr>
          <w:t>51</w:t>
        </w:r>
        <w:r w:rsidR="00342AFB">
          <w:rPr>
            <w:noProof/>
            <w:webHidden/>
          </w:rPr>
          <w:fldChar w:fldCharType="end"/>
        </w:r>
      </w:hyperlink>
    </w:p>
    <w:p w14:paraId="4D063AB5" w14:textId="77777777" w:rsidR="00342AFB" w:rsidRDefault="00242059">
      <w:pPr>
        <w:pStyle w:val="TOC2"/>
        <w:rPr>
          <w:rFonts w:asciiTheme="minorHAnsi" w:eastAsiaTheme="minorEastAsia" w:hAnsiTheme="minorHAnsi" w:cstheme="minorBidi"/>
          <w:noProof/>
          <w:szCs w:val="22"/>
          <w:lang w:eastAsia="en-GB"/>
        </w:rPr>
      </w:pPr>
      <w:hyperlink w:anchor="_Toc487024658" w:history="1">
        <w:r w:rsidR="00342AFB" w:rsidRPr="003E4E93">
          <w:rPr>
            <w:rStyle w:val="Hyperlink"/>
            <w:rFonts w:cs="Times New Roman Bold"/>
            <w:noProof/>
          </w:rPr>
          <w:t>2.7</w:t>
        </w:r>
        <w:r w:rsidR="00342AFB">
          <w:rPr>
            <w:rFonts w:asciiTheme="minorHAnsi" w:eastAsiaTheme="minorEastAsia" w:hAnsiTheme="minorHAnsi" w:cstheme="minorBidi"/>
            <w:noProof/>
            <w:szCs w:val="22"/>
            <w:lang w:eastAsia="en-GB"/>
          </w:rPr>
          <w:tab/>
        </w:r>
        <w:r w:rsidR="00342AFB" w:rsidRPr="003E4E93">
          <w:rPr>
            <w:rStyle w:val="Hyperlink"/>
            <w:noProof/>
          </w:rPr>
          <w:t>Early detection and exclusion system (edes)</w:t>
        </w:r>
        <w:r w:rsidR="00342AFB">
          <w:rPr>
            <w:noProof/>
            <w:webHidden/>
          </w:rPr>
          <w:tab/>
        </w:r>
        <w:r w:rsidR="00342AFB">
          <w:rPr>
            <w:noProof/>
            <w:webHidden/>
          </w:rPr>
          <w:fldChar w:fldCharType="begin"/>
        </w:r>
        <w:r w:rsidR="00342AFB">
          <w:rPr>
            <w:noProof/>
            <w:webHidden/>
          </w:rPr>
          <w:instrText xml:space="preserve"> PAGEREF _Toc487024658 \h </w:instrText>
        </w:r>
        <w:r w:rsidR="00342AFB">
          <w:rPr>
            <w:noProof/>
            <w:webHidden/>
          </w:rPr>
        </w:r>
        <w:r w:rsidR="00342AFB">
          <w:rPr>
            <w:noProof/>
            <w:webHidden/>
          </w:rPr>
          <w:fldChar w:fldCharType="separate"/>
        </w:r>
        <w:r w:rsidR="003F07E0">
          <w:rPr>
            <w:noProof/>
            <w:webHidden/>
          </w:rPr>
          <w:t>51</w:t>
        </w:r>
        <w:r w:rsidR="00342AFB">
          <w:rPr>
            <w:noProof/>
            <w:webHidden/>
          </w:rPr>
          <w:fldChar w:fldCharType="end"/>
        </w:r>
      </w:hyperlink>
    </w:p>
    <w:p w14:paraId="0306FF29" w14:textId="77777777" w:rsidR="00342AFB" w:rsidRDefault="00242059">
      <w:pPr>
        <w:pStyle w:val="TOC1"/>
        <w:rPr>
          <w:rFonts w:asciiTheme="minorHAnsi" w:eastAsiaTheme="minorEastAsia" w:hAnsiTheme="minorHAnsi" w:cstheme="minorBidi"/>
          <w:b w:val="0"/>
          <w:caps w:val="0"/>
          <w:noProof/>
          <w:szCs w:val="22"/>
          <w:lang w:eastAsia="en-GB"/>
        </w:rPr>
      </w:pPr>
      <w:hyperlink w:anchor="_Toc487024659" w:history="1">
        <w:r w:rsidR="00342AFB" w:rsidRPr="003E4E93">
          <w:rPr>
            <w:rStyle w:val="Hyperlink"/>
            <w:rFonts w:cs="Times New Roman Bold"/>
            <w:noProof/>
          </w:rPr>
          <w:t>3</w:t>
        </w:r>
        <w:r w:rsidR="00342AFB">
          <w:rPr>
            <w:rFonts w:asciiTheme="minorHAnsi" w:eastAsiaTheme="minorEastAsia" w:hAnsiTheme="minorHAnsi" w:cstheme="minorBidi"/>
            <w:b w:val="0"/>
            <w:caps w:val="0"/>
            <w:noProof/>
            <w:szCs w:val="22"/>
            <w:lang w:eastAsia="en-GB"/>
          </w:rPr>
          <w:tab/>
        </w:r>
        <w:r w:rsidR="00342AFB" w:rsidRPr="003E4E93">
          <w:rPr>
            <w:rStyle w:val="Hyperlink"/>
            <w:noProof/>
          </w:rPr>
          <w:t>LIST OF annexes</w:t>
        </w:r>
        <w:r w:rsidR="00342AFB">
          <w:rPr>
            <w:noProof/>
            <w:webHidden/>
          </w:rPr>
          <w:tab/>
        </w:r>
        <w:r w:rsidR="00342AFB">
          <w:rPr>
            <w:noProof/>
            <w:webHidden/>
          </w:rPr>
          <w:fldChar w:fldCharType="begin"/>
        </w:r>
        <w:r w:rsidR="00342AFB">
          <w:rPr>
            <w:noProof/>
            <w:webHidden/>
          </w:rPr>
          <w:instrText xml:space="preserve"> PAGEREF _Toc487024659 \h </w:instrText>
        </w:r>
        <w:r w:rsidR="00342AFB">
          <w:rPr>
            <w:noProof/>
            <w:webHidden/>
          </w:rPr>
        </w:r>
        <w:r w:rsidR="00342AFB">
          <w:rPr>
            <w:noProof/>
            <w:webHidden/>
          </w:rPr>
          <w:fldChar w:fldCharType="separate"/>
        </w:r>
        <w:r w:rsidR="003F07E0">
          <w:rPr>
            <w:noProof/>
            <w:webHidden/>
          </w:rPr>
          <w:t>52</w:t>
        </w:r>
        <w:r w:rsidR="00342AFB">
          <w:rPr>
            <w:noProof/>
            <w:webHidden/>
          </w:rPr>
          <w:fldChar w:fldCharType="end"/>
        </w:r>
      </w:hyperlink>
    </w:p>
    <w:p w14:paraId="03C8DD6C" w14:textId="77777777" w:rsidR="00491F8A" w:rsidRPr="00807DAF" w:rsidRDefault="00EA7756" w:rsidP="00495849">
      <w:pPr>
        <w:rPr>
          <w:sz w:val="28"/>
          <w:szCs w:val="28"/>
        </w:rPr>
        <w:sectPr w:rsidR="00491F8A" w:rsidRPr="00807DAF" w:rsidSect="00EB1B18">
          <w:headerReference w:type="default" r:id="rId10"/>
          <w:footerReference w:type="default" r:id="rId11"/>
          <w:footerReference w:type="first" r:id="rId12"/>
          <w:pgSz w:w="11906" w:h="16838" w:code="9"/>
          <w:pgMar w:top="907" w:right="1134" w:bottom="1134" w:left="1418" w:header="567" w:footer="544" w:gutter="0"/>
          <w:cols w:space="720"/>
          <w:titlePg/>
        </w:sectPr>
      </w:pPr>
      <w:r w:rsidRPr="00807DAF">
        <w:rPr>
          <w:b/>
          <w:caps/>
          <w:sz w:val="28"/>
          <w:szCs w:val="28"/>
        </w:rPr>
        <w:fldChar w:fldCharType="end"/>
      </w:r>
    </w:p>
    <w:p w14:paraId="4BE3227E" w14:textId="77777777" w:rsidR="0007408E" w:rsidRPr="00B21DB6" w:rsidRDefault="006A074B" w:rsidP="000C1BF8">
      <w:pPr>
        <w:pStyle w:val="Guidelines1"/>
        <w:rPr>
          <w:noProof/>
        </w:rPr>
      </w:pPr>
      <w:bookmarkStart w:id="0" w:name="_Toc487024632"/>
      <w:r w:rsidRPr="006A074B">
        <w:rPr>
          <w:noProof/>
        </w:rPr>
        <w:lastRenderedPageBreak/>
        <w:t>European Instrument For Democracy and Human Rights (EIDHR): 2017 Global Call for Proposals</w:t>
      </w:r>
      <w:bookmarkEnd w:id="0"/>
    </w:p>
    <w:p w14:paraId="63AF26B2" w14:textId="77777777" w:rsidR="0007408E" w:rsidRDefault="0007408E" w:rsidP="000C1BF8">
      <w:pPr>
        <w:pStyle w:val="Guidelines2"/>
      </w:pPr>
      <w:bookmarkStart w:id="1" w:name="_Toc487024633"/>
      <w:r w:rsidRPr="00807DAF">
        <w:t>Background</w:t>
      </w:r>
      <w:bookmarkEnd w:id="1"/>
    </w:p>
    <w:p w14:paraId="516C5C38" w14:textId="77777777" w:rsidR="00777617" w:rsidRDefault="00777617" w:rsidP="00777617">
      <w:r>
        <w:t xml:space="preserve">The European Instrument for Democracy and Human Rights (EIDHR) is a European Union programme that aims to promote democracy and human rights worldwide through support to civil society initiatives. The EIDHR was adopted by the European Parliament and the Council in March 2014 (Regulation No. 235/2014) for the period 2014-2020 by replacing and building upon the EIDHR (2007-2013) and the European Initiative for Democracy and Human Rights (2000-2006). </w:t>
      </w:r>
    </w:p>
    <w:p w14:paraId="451ABD37" w14:textId="77777777" w:rsidR="00777617" w:rsidRDefault="00777617" w:rsidP="00777617">
      <w:r>
        <w:t>This instrument is designed to support civil society to become an effective force for political reform and defence of human rights. In doing this, it complements the geographical programmes, which focus on public institution-building. The EIDHR offers independence of action, which is a critical feature of cooperation with civil society organisations at national level, especially in the sensitive areas of democracy and human rights. It offers a great flexibility and an increased capacity to respond to changing circumstances or to support innovation. The EIDHR has considerable independence of action since it does not need the consent of the governments of the countries concerned for the financing of activities.</w:t>
      </w:r>
    </w:p>
    <w:p w14:paraId="2DD9BDE6" w14:textId="77777777" w:rsidR="00777617" w:rsidRDefault="00777617" w:rsidP="00777617">
      <w:r>
        <w:t>The EIDHR is global in scope. It operates at national, regional and international levels and supports actions carried out in third countries outside the European Union, throughout the world. The EIDHR regulation defines five main objectives:</w:t>
      </w:r>
    </w:p>
    <w:p w14:paraId="1556EF02" w14:textId="77777777" w:rsidR="00777617" w:rsidRDefault="00777617" w:rsidP="00777617">
      <w:r>
        <w:t>1) Support to Human Rights and Human Rights Defenders in situations where they are most at risk;</w:t>
      </w:r>
    </w:p>
    <w:p w14:paraId="431BDA05" w14:textId="77777777" w:rsidR="00777617" w:rsidRDefault="00777617" w:rsidP="00777617">
      <w:r>
        <w:t>2) Support to other EU Human Rights Priorities with main focus on protecting human dignity including abolition of the death penalty, eradication of torture and other cruel, inhuman or degrading treatment or punishment, support to a comprehensive approach to rehabilitation and prevention activities, protection and promotion of children's rights, protection of women's rights, fighting discrimination in all its forms, fighting against impunity, promotion and protection of freedom of religion or belief, promotion of economic, social and cultural rights, promotion of the respect for international humanitarian law;</w:t>
      </w:r>
    </w:p>
    <w:p w14:paraId="1E87D7CC" w14:textId="77777777" w:rsidR="00777617" w:rsidRDefault="00777617" w:rsidP="00777617">
      <w:r>
        <w:t>3) Support to Democracy;</w:t>
      </w:r>
    </w:p>
    <w:p w14:paraId="5C6E68C0" w14:textId="77777777" w:rsidR="00777617" w:rsidRDefault="00777617" w:rsidP="00777617">
      <w:r>
        <w:t>4) Support to EU Election Observation Missions;</w:t>
      </w:r>
    </w:p>
    <w:p w14:paraId="12B57E12" w14:textId="77777777" w:rsidR="00777617" w:rsidRDefault="00777617" w:rsidP="00777617">
      <w:r>
        <w:t>5) Support to targeted key actors and processes, including international and regional human rights instruments and mechanisms.</w:t>
      </w:r>
    </w:p>
    <w:p w14:paraId="010E50E0" w14:textId="2B5E9751" w:rsidR="008B36E3" w:rsidRDefault="00F82AA2" w:rsidP="00777617">
      <w:r>
        <w:t xml:space="preserve">Over the past 2 years, the annual EIDHR </w:t>
      </w:r>
      <w:r w:rsidR="00B90E81">
        <w:t>G</w:t>
      </w:r>
      <w:r>
        <w:t>lobal</w:t>
      </w:r>
      <w:r w:rsidR="00B90E81">
        <w:t xml:space="preserve"> C</w:t>
      </w:r>
      <w:r>
        <w:t xml:space="preserve">all for </w:t>
      </w:r>
      <w:r w:rsidR="00B90E81">
        <w:t>P</w:t>
      </w:r>
      <w:r>
        <w:t xml:space="preserve">roposals has covered </w:t>
      </w:r>
      <w:r w:rsidRPr="00F82AA2">
        <w:t>core priority themes in the form of five separated lots</w:t>
      </w:r>
      <w:r>
        <w:t>:</w:t>
      </w:r>
      <w:r w:rsidR="008B36E3">
        <w:t xml:space="preserve"> </w:t>
      </w:r>
    </w:p>
    <w:p w14:paraId="7ED827BA" w14:textId="429667A9" w:rsidR="00777617" w:rsidRDefault="00F82AA2" w:rsidP="009D24A4">
      <w:pPr>
        <w:ind w:left="720"/>
      </w:pPr>
      <w:r w:rsidDel="00F82AA2">
        <w:t xml:space="preserve"> </w:t>
      </w:r>
      <w:r w:rsidR="00777617">
        <w:t>(i) Human rights and their defenders where they are the most at risk;</w:t>
      </w:r>
    </w:p>
    <w:p w14:paraId="45790454" w14:textId="77777777" w:rsidR="00777617" w:rsidRDefault="00777617" w:rsidP="009D24A4">
      <w:pPr>
        <w:ind w:left="720"/>
      </w:pPr>
      <w:r>
        <w:t xml:space="preserve">(ii) Economic, Social and Cultural rights; </w:t>
      </w:r>
    </w:p>
    <w:p w14:paraId="4EA7EACC" w14:textId="77777777" w:rsidR="00777617" w:rsidRDefault="00777617" w:rsidP="009D24A4">
      <w:pPr>
        <w:ind w:left="720"/>
      </w:pPr>
      <w:r>
        <w:t>(iii) Human Dignity;</w:t>
      </w:r>
    </w:p>
    <w:p w14:paraId="1AE77D9C" w14:textId="7584FC16" w:rsidR="00777617" w:rsidRDefault="00777617" w:rsidP="009D24A4">
      <w:pPr>
        <w:ind w:left="720"/>
      </w:pPr>
      <w:proofErr w:type="gramStart"/>
      <w:r>
        <w:t xml:space="preserve">(iv) </w:t>
      </w:r>
      <w:r w:rsidR="005512A8">
        <w:t>Anti-d</w:t>
      </w:r>
      <w:r>
        <w:t>iscrimination</w:t>
      </w:r>
      <w:proofErr w:type="gramEnd"/>
      <w:r>
        <w:t>;</w:t>
      </w:r>
    </w:p>
    <w:p w14:paraId="3DCA99EC" w14:textId="77777777" w:rsidR="00777617" w:rsidRDefault="00777617" w:rsidP="009D24A4">
      <w:pPr>
        <w:ind w:left="720"/>
      </w:pPr>
      <w:r>
        <w:t>(v) Other priorities planned in the multiannual programming or linked to new unforeseen areas.</w:t>
      </w:r>
    </w:p>
    <w:p w14:paraId="15624B03" w14:textId="77777777" w:rsidR="000517AD" w:rsidRDefault="000517AD" w:rsidP="00777617"/>
    <w:p w14:paraId="207FBAD1" w14:textId="77777777" w:rsidR="0007408E" w:rsidRPr="00807DAF" w:rsidRDefault="0007408E" w:rsidP="000C1BF8">
      <w:pPr>
        <w:pStyle w:val="Guidelines2"/>
      </w:pPr>
      <w:bookmarkStart w:id="2" w:name="_Toc487024634"/>
      <w:r w:rsidRPr="00807DAF">
        <w:lastRenderedPageBreak/>
        <w:t>Objectives of the programme and priority issues</w:t>
      </w:r>
      <w:bookmarkEnd w:id="2"/>
      <w:r w:rsidRPr="00807DAF">
        <w:t xml:space="preserve"> </w:t>
      </w:r>
    </w:p>
    <w:p w14:paraId="5F2EB3B9" w14:textId="3459BB0C" w:rsidR="00777617" w:rsidRDefault="00777617" w:rsidP="00777617">
      <w:r w:rsidRPr="00777617">
        <w:rPr>
          <w:b/>
        </w:rPr>
        <w:t>The g</w:t>
      </w:r>
      <w:r w:rsidR="005F5F5A">
        <w:rPr>
          <w:b/>
        </w:rPr>
        <w:t>eneral</w:t>
      </w:r>
      <w:r w:rsidRPr="00777617">
        <w:rPr>
          <w:b/>
        </w:rPr>
        <w:t xml:space="preserve"> objective</w:t>
      </w:r>
      <w:r>
        <w:t xml:space="preserve"> of this call for proposals is to support civil society in its actions to support the protection and the promotion of human rights and fundamental freedoms worldwide.</w:t>
      </w:r>
    </w:p>
    <w:p w14:paraId="74C08EE7" w14:textId="376C8DC3" w:rsidR="000D73E5" w:rsidRDefault="000D73E5" w:rsidP="000D73E5">
      <w:r>
        <w:t xml:space="preserve">This call for proposals is fully in line with the </w:t>
      </w:r>
      <w:r w:rsidRPr="000D73E5">
        <w:t xml:space="preserve">European </w:t>
      </w:r>
      <w:r>
        <w:t>Consensus on D</w:t>
      </w:r>
      <w:r w:rsidRPr="000D73E5">
        <w:t>evelopment</w:t>
      </w:r>
      <w:r>
        <w:rPr>
          <w:rStyle w:val="FootnoteReference"/>
        </w:rPr>
        <w:footnoteReference w:id="5"/>
      </w:r>
      <w:r>
        <w:t xml:space="preserve">, the EU's response to the UN 2030 agenda for sustainable development. The recently adopted European Consensus sets out in an integrated manner the main principles which will guide the approach of the EU and the </w:t>
      </w:r>
      <w:r w:rsidR="005C1873">
        <w:t>M</w:t>
      </w:r>
      <w:r>
        <w:t xml:space="preserve">ember </w:t>
      </w:r>
      <w:r w:rsidR="005C1873">
        <w:t>S</w:t>
      </w:r>
      <w:r>
        <w:t xml:space="preserve">tates to cooperation with developing countries over the next 15 years, as well as a strategy for reaching the </w:t>
      </w:r>
      <w:r w:rsidR="00543C7F">
        <w:t xml:space="preserve">Sustainable Development Goals </w:t>
      </w:r>
      <w:r>
        <w:t>(SDGs).</w:t>
      </w:r>
      <w:r w:rsidR="0042351A">
        <w:t xml:space="preserve"> The Consensus reiterates the EU and its Members states commitment to </w:t>
      </w:r>
      <w:r w:rsidR="0042351A" w:rsidRPr="0042351A">
        <w:t>the principles of EU external action, set out in Article 21(1) of the TEU: democracy, the rule of law, the universality and indivisibility of human rights and fundamental freedoms, respect for human dignity, the principles of equality and solidarity, and respect for the principles of the United Nations Charter and international law.</w:t>
      </w:r>
      <w:r w:rsidR="0042351A">
        <w:t xml:space="preserve"> </w:t>
      </w:r>
    </w:p>
    <w:p w14:paraId="1DB1AB35" w14:textId="77777777" w:rsidR="00777617" w:rsidRDefault="00777617" w:rsidP="00777617">
      <w:r w:rsidRPr="00777617">
        <w:rPr>
          <w:b/>
        </w:rPr>
        <w:t>The specific objectives</w:t>
      </w:r>
      <w:r>
        <w:t xml:space="preserve"> of this call for proposals are to support civil society and human rights defenders working outside the EU in five key areas of human rights corresponding to the five recurring lots of 2014-2017 EIDHR global calls for proposals: </w:t>
      </w:r>
    </w:p>
    <w:p w14:paraId="4401D26A" w14:textId="77777777" w:rsidR="00777617" w:rsidRPr="00777617" w:rsidRDefault="00777617" w:rsidP="007A0900">
      <w:pPr>
        <w:numPr>
          <w:ilvl w:val="0"/>
          <w:numId w:val="33"/>
        </w:numPr>
        <w:rPr>
          <w:b/>
        </w:rPr>
      </w:pPr>
      <w:r w:rsidRPr="00777617">
        <w:rPr>
          <w:b/>
        </w:rPr>
        <w:t>Lot 1: Supporting Human Rights Defenders in the area of land-related rights, indigenous peoples, in the context of inter alia 'land grabbing' and climate change.</w:t>
      </w:r>
    </w:p>
    <w:p w14:paraId="14F21543" w14:textId="0FDB9A16" w:rsidR="00777617" w:rsidRPr="00777617" w:rsidRDefault="00777617" w:rsidP="007A0900">
      <w:pPr>
        <w:numPr>
          <w:ilvl w:val="0"/>
          <w:numId w:val="33"/>
        </w:numPr>
        <w:rPr>
          <w:b/>
        </w:rPr>
      </w:pPr>
      <w:r w:rsidRPr="00777617">
        <w:rPr>
          <w:b/>
        </w:rPr>
        <w:t xml:space="preserve">Lot 2: </w:t>
      </w:r>
      <w:r w:rsidR="009D11FF">
        <w:rPr>
          <w:b/>
        </w:rPr>
        <w:t>Fighting against extrajudicial</w:t>
      </w:r>
      <w:r w:rsidRPr="00777617">
        <w:rPr>
          <w:b/>
        </w:rPr>
        <w:t xml:space="preserve"> killings and enforced disappearances.</w:t>
      </w:r>
    </w:p>
    <w:p w14:paraId="26265C45" w14:textId="3FFC2767" w:rsidR="00777617" w:rsidRPr="00777617" w:rsidRDefault="00777617" w:rsidP="007A0900">
      <w:pPr>
        <w:numPr>
          <w:ilvl w:val="0"/>
          <w:numId w:val="33"/>
        </w:numPr>
        <w:rPr>
          <w:b/>
        </w:rPr>
      </w:pPr>
      <w:r w:rsidRPr="00777617">
        <w:rPr>
          <w:b/>
        </w:rPr>
        <w:t xml:space="preserve">Lot 3: </w:t>
      </w:r>
      <w:r w:rsidR="00671DDC" w:rsidRPr="00671DDC">
        <w:rPr>
          <w:b/>
        </w:rPr>
        <w:t>Combating forced labour</w:t>
      </w:r>
      <w:r w:rsidR="00671DDC">
        <w:rPr>
          <w:b/>
        </w:rPr>
        <w:t xml:space="preserve"> </w:t>
      </w:r>
      <w:r w:rsidR="00894A57">
        <w:rPr>
          <w:b/>
        </w:rPr>
        <w:t>and</w:t>
      </w:r>
      <w:r w:rsidR="00894A57" w:rsidRPr="00671DDC">
        <w:rPr>
          <w:b/>
        </w:rPr>
        <w:t xml:space="preserve"> modern</w:t>
      </w:r>
      <w:r w:rsidR="00671DDC" w:rsidRPr="00671DDC">
        <w:rPr>
          <w:b/>
        </w:rPr>
        <w:t xml:space="preserve"> </w:t>
      </w:r>
      <w:r w:rsidR="00671DDC">
        <w:rPr>
          <w:b/>
        </w:rPr>
        <w:t>slavery</w:t>
      </w:r>
      <w:r w:rsidR="00671DDC" w:rsidRPr="00671DDC">
        <w:rPr>
          <w:b/>
        </w:rPr>
        <w:t>.</w:t>
      </w:r>
    </w:p>
    <w:p w14:paraId="28AE8DFF" w14:textId="77777777" w:rsidR="00777617" w:rsidRPr="00777617" w:rsidRDefault="00777617" w:rsidP="007A0900">
      <w:pPr>
        <w:numPr>
          <w:ilvl w:val="0"/>
          <w:numId w:val="33"/>
        </w:numPr>
        <w:rPr>
          <w:b/>
        </w:rPr>
      </w:pPr>
      <w:r w:rsidRPr="00777617">
        <w:rPr>
          <w:b/>
        </w:rPr>
        <w:t>Lot 4: Promoting and supporting the rights of persons with disabilities.</w:t>
      </w:r>
    </w:p>
    <w:p w14:paraId="4B8A3BB0" w14:textId="77777777" w:rsidR="00777617" w:rsidRDefault="00777617" w:rsidP="007A0900">
      <w:pPr>
        <w:numPr>
          <w:ilvl w:val="0"/>
          <w:numId w:val="33"/>
        </w:numPr>
        <w:rPr>
          <w:b/>
        </w:rPr>
      </w:pPr>
      <w:r w:rsidRPr="00777617">
        <w:rPr>
          <w:b/>
        </w:rPr>
        <w:t xml:space="preserve">Lot 5: </w:t>
      </w:r>
      <w:r w:rsidR="00501074">
        <w:rPr>
          <w:b/>
        </w:rPr>
        <w:t>Supporting freedom of religion o</w:t>
      </w:r>
      <w:r w:rsidRPr="00777617">
        <w:rPr>
          <w:b/>
        </w:rPr>
        <w:t xml:space="preserve">r </w:t>
      </w:r>
      <w:r w:rsidR="00501074">
        <w:rPr>
          <w:b/>
        </w:rPr>
        <w:t>b</w:t>
      </w:r>
      <w:r w:rsidRPr="00777617">
        <w:rPr>
          <w:b/>
        </w:rPr>
        <w:t>elief.</w:t>
      </w:r>
    </w:p>
    <w:p w14:paraId="1120B6CB" w14:textId="53550125" w:rsidR="00777617" w:rsidRPr="00777617" w:rsidRDefault="00777617" w:rsidP="00777617">
      <w:r w:rsidRPr="00777617">
        <w:t>The definition of the objectives of each of the lots of this call for proposals has been subject to a</w:t>
      </w:r>
      <w:r w:rsidR="00396F99">
        <w:t>n</w:t>
      </w:r>
      <w:r w:rsidRPr="00777617">
        <w:t xml:space="preserve"> </w:t>
      </w:r>
      <w:r w:rsidR="008B36E3">
        <w:t xml:space="preserve">exchange of views with </w:t>
      </w:r>
      <w:r w:rsidRPr="00777617">
        <w:t>civil society organisations</w:t>
      </w:r>
      <w:r w:rsidR="00F94CC6">
        <w:t xml:space="preserve"> </w:t>
      </w:r>
      <w:r w:rsidR="003776DD">
        <w:t xml:space="preserve">through the Brussels based networks </w:t>
      </w:r>
      <w:r w:rsidR="008B36E3">
        <w:t xml:space="preserve">on </w:t>
      </w:r>
      <w:r w:rsidR="00F94CC6">
        <w:t>20</w:t>
      </w:r>
      <w:r w:rsidR="00F94CC6" w:rsidRPr="00F94CC6">
        <w:rPr>
          <w:vertAlign w:val="superscript"/>
        </w:rPr>
        <w:t>th</w:t>
      </w:r>
      <w:r w:rsidR="00F94CC6">
        <w:t xml:space="preserve"> of April 2017</w:t>
      </w:r>
      <w:r w:rsidR="008B36E3">
        <w:t xml:space="preserve"> in Brussels</w:t>
      </w:r>
      <w:r w:rsidR="00F94CC6">
        <w:t>.</w:t>
      </w:r>
      <w:r w:rsidR="008B36E3">
        <w:t xml:space="preserve"> The outcome of this exchange is published on </w:t>
      </w:r>
      <w:hyperlink r:id="rId13" w:history="1">
        <w:proofErr w:type="spellStart"/>
        <w:r w:rsidR="005512A8" w:rsidRPr="00B90E81">
          <w:rPr>
            <w:rStyle w:val="Hyperlink"/>
          </w:rPr>
          <w:t>Europe</w:t>
        </w:r>
        <w:r w:rsidR="005512A8">
          <w:rPr>
            <w:rStyle w:val="Hyperlink"/>
          </w:rPr>
          <w:t>A</w:t>
        </w:r>
        <w:r w:rsidR="005512A8" w:rsidRPr="00B90E81">
          <w:rPr>
            <w:rStyle w:val="Hyperlink"/>
          </w:rPr>
          <w:t>id's</w:t>
        </w:r>
        <w:proofErr w:type="spellEnd"/>
        <w:r w:rsidR="005512A8" w:rsidRPr="00B90E81">
          <w:rPr>
            <w:rStyle w:val="Hyperlink"/>
          </w:rPr>
          <w:t xml:space="preserve"> website</w:t>
        </w:r>
      </w:hyperlink>
      <w:r w:rsidR="003776DD">
        <w:rPr>
          <w:rStyle w:val="FootnoteReference"/>
          <w:color w:val="0000FF"/>
          <w:u w:val="single"/>
        </w:rPr>
        <w:footnoteReference w:id="6"/>
      </w:r>
      <w:r w:rsidR="008B36E3">
        <w:t xml:space="preserve">.  </w:t>
      </w:r>
    </w:p>
    <w:p w14:paraId="2F1133C8" w14:textId="77777777" w:rsidR="00777617" w:rsidRPr="00777617" w:rsidRDefault="00777617" w:rsidP="00777617">
      <w:pPr>
        <w:rPr>
          <w:i/>
        </w:rPr>
      </w:pPr>
      <w:r w:rsidRPr="00777617">
        <w:rPr>
          <w:i/>
        </w:rPr>
        <w:t xml:space="preserve">Overarching and working principles </w:t>
      </w:r>
    </w:p>
    <w:p w14:paraId="41FC55AD" w14:textId="57943725" w:rsidR="00777617" w:rsidRPr="00777617" w:rsidRDefault="00777617" w:rsidP="00777617">
      <w:r w:rsidRPr="00777617">
        <w:t xml:space="preserve">The objectives of this call are aligned with the </w:t>
      </w:r>
      <w:r w:rsidR="000E0D57">
        <w:t xml:space="preserve">European </w:t>
      </w:r>
      <w:r w:rsidR="00A57559">
        <w:t xml:space="preserve">Consensus on Development as well as </w:t>
      </w:r>
      <w:r w:rsidRPr="00777617">
        <w:t>the EU's priorities as identified in policies and regulations, notably the EU Action Plan on Human Rights and Democracy 2015-2019 as well as in the specific human righ</w:t>
      </w:r>
      <w:r>
        <w:t>ts guidelines adopted by the EU</w:t>
      </w:r>
      <w:r w:rsidRPr="00777617">
        <w:t xml:space="preserve">. </w:t>
      </w:r>
    </w:p>
    <w:p w14:paraId="1A0120C6" w14:textId="1C5AA728" w:rsidR="00284321" w:rsidRDefault="000E0D57" w:rsidP="00284321">
      <w:r>
        <w:t>T</w:t>
      </w:r>
      <w:r w:rsidRPr="0083620D">
        <w:t>he European Consensus on Development</w:t>
      </w:r>
      <w:r>
        <w:t xml:space="preserve"> commits the EU and its Member States to implementing a rights-based approach (RBA) to development cooperation, encompassing all human rights. It thereby </w:t>
      </w:r>
      <w:r w:rsidRPr="00123138">
        <w:t>reinforce</w:t>
      </w:r>
      <w:r>
        <w:t>s the EU's</w:t>
      </w:r>
      <w:r w:rsidRPr="00123138">
        <w:t xml:space="preserve"> </w:t>
      </w:r>
      <w:r>
        <w:t xml:space="preserve">commitment to an RBA as outlined in the </w:t>
      </w:r>
      <w:hyperlink r:id="rId14" w:history="1">
        <w:r w:rsidRPr="00A31340">
          <w:rPr>
            <w:rStyle w:val="Hyperlink"/>
          </w:rPr>
          <w:t>2012 EU Strategic Framework on Human Rights and Democracy</w:t>
        </w:r>
      </w:hyperlink>
      <w:r w:rsidRPr="003E4CFB">
        <w:t>,</w:t>
      </w:r>
      <w:r>
        <w:t xml:space="preserve"> the 2014 </w:t>
      </w:r>
      <w:hyperlink r:id="rId15" w:history="1">
        <w:r w:rsidRPr="00A05DD7">
          <w:rPr>
            <w:rStyle w:val="Hyperlink"/>
          </w:rPr>
          <w:t>Tool-box</w:t>
        </w:r>
      </w:hyperlink>
      <w:r>
        <w:t xml:space="preserve"> "</w:t>
      </w:r>
      <w:r w:rsidR="005C1873">
        <w:t xml:space="preserve">, a </w:t>
      </w:r>
      <w:r>
        <w:t xml:space="preserve">Rights-Based Approach, encompassing all human rights, for EU development cooperation" and the respective </w:t>
      </w:r>
      <w:hyperlink r:id="rId16" w:history="1">
        <w:r w:rsidRPr="00A31340">
          <w:rPr>
            <w:rStyle w:val="Hyperlink"/>
          </w:rPr>
          <w:t>Council Conclusions</w:t>
        </w:r>
      </w:hyperlink>
      <w:r>
        <w:t xml:space="preserve">. </w:t>
      </w:r>
      <w:r w:rsidR="00284321">
        <w:t>In addition, the EIDHR Regulation</w:t>
      </w:r>
      <w:r w:rsidR="00D84647">
        <w:rPr>
          <w:rStyle w:val="FootnoteReference"/>
        </w:rPr>
        <w:footnoteReference w:id="7"/>
      </w:r>
      <w:r w:rsidR="00284321">
        <w:t xml:space="preserve"> stipulates that in its implementation, the EU shall apply a Rights-Based Approach (RBA) </w:t>
      </w:r>
      <w:r w:rsidR="00284321">
        <w:lastRenderedPageBreak/>
        <w:t>encompassing all human rights, whether civil, political, economic, social or cultural. Therefore, all proposals under all lots of this call for proposals shall be designed according to a Rights-Based Approach.</w:t>
      </w:r>
      <w:r w:rsidR="007C41C4">
        <w:t xml:space="preserve"> </w:t>
      </w:r>
      <w:r w:rsidR="00525A06">
        <w:t>Please note that t</w:t>
      </w:r>
      <w:r w:rsidR="007C41C4">
        <w:t xml:space="preserve">his will be assessed in the Evaluation Grid of the Concept Note </w:t>
      </w:r>
      <w:r w:rsidR="007C41C4" w:rsidRPr="00A6469E">
        <w:t xml:space="preserve">under question 1.2 and </w:t>
      </w:r>
      <w:r w:rsidR="00623339" w:rsidRPr="00A6469E">
        <w:t>under question</w:t>
      </w:r>
      <w:r w:rsidR="00A57559" w:rsidRPr="00A6469E">
        <w:t>s (3.1, 3.2 and 3</w:t>
      </w:r>
      <w:r w:rsidR="00CA6F62" w:rsidRPr="00A6469E">
        <w:t>.3</w:t>
      </w:r>
      <w:r w:rsidR="00E70645" w:rsidRPr="00A6469E">
        <w:t>)</w:t>
      </w:r>
      <w:r w:rsidR="00E70645">
        <w:t xml:space="preserve"> related</w:t>
      </w:r>
      <w:r w:rsidR="00623339">
        <w:t xml:space="preserve"> to </w:t>
      </w:r>
      <w:r w:rsidR="00A57559">
        <w:t>the e</w:t>
      </w:r>
      <w:r w:rsidR="00A57559" w:rsidRPr="00A57559">
        <w:t xml:space="preserve">ffectiveness and feasibility of the action </w:t>
      </w:r>
      <w:r w:rsidR="00623339">
        <w:t xml:space="preserve">in the Full Application Evaluation Grid. </w:t>
      </w:r>
      <w:r w:rsidR="007C41C4">
        <w:t xml:space="preserve"> </w:t>
      </w:r>
    </w:p>
    <w:p w14:paraId="1F67BF7B" w14:textId="77777777" w:rsidR="007603DB" w:rsidRDefault="007603DB" w:rsidP="00284321">
      <w:r w:rsidRPr="007603DB">
        <w:t xml:space="preserve">The RBA is a working methodology based on internationally recognised human rights and is directed to promoting and protecting human rights in practice. A RBA integrates the norms, standards and principles of international human rights law into the plans, policies and processes of development programmes and projects and applies to all sectors, all modalities, and each step of the project cycle – identification, formulation, implementation, monitoring and evaluation. </w:t>
      </w:r>
    </w:p>
    <w:p w14:paraId="64A7C297" w14:textId="59B89FFF" w:rsidR="007603DB" w:rsidRDefault="007603DB" w:rsidP="007603DB">
      <w:r>
        <w:t xml:space="preserve">The RBA implies that target groups are considered as ‘rights-holders’ with legal entitlements, and government institutions are not mere service providers but ‘duty-bearers,’ who are under an obligation to deliver on people’s human rights. In line with a Rights-Based Approach, development cooperation should contribute to the development of the capacities of ‘rights-holders’ to claim their rights and ‘duty-bearers’ to meet their obligations. Programmes and projects therefore need to assess the capacities of rights-holders and duty-bearers and develop the appropriate strategies to build these capacities. At the heart of the RBA is the recognition that unequal power relations and social exclusion deny people their human rights and often keep them in poverty. The approach therefore puts strong emphasis on marginalised, disadvantaged, and excluded groups. </w:t>
      </w:r>
    </w:p>
    <w:p w14:paraId="4A24933D" w14:textId="77777777" w:rsidR="007603DB" w:rsidRDefault="007603DB" w:rsidP="007603DB">
      <w:r>
        <w:t>The RBA methodology also reminds us that development projects can have unintended negative impact in terms of human rights such as disadvantaging certain groups, interfering with participation rights and labour rights or contributing to forced displacement. It is therefore important to abide by the '</w:t>
      </w:r>
      <w:proofErr w:type="gramStart"/>
      <w:r>
        <w:t>do</w:t>
      </w:r>
      <w:proofErr w:type="gramEnd"/>
      <w:r>
        <w:t xml:space="preserve"> no harm' principle and carry out the required analysis and mitigation. </w:t>
      </w:r>
    </w:p>
    <w:p w14:paraId="42D6BEE0" w14:textId="7831710F" w:rsidR="007603DB" w:rsidRDefault="007603DB" w:rsidP="007603DB">
      <w:r>
        <w:t>Moreover, the RBA working methodology recognises that pursuing desired human rights outcomes is not, in itself, enough. The way these outcomes are achieved is equally important. Programmes therefore monitor and evaluate both outcomes and processes.</w:t>
      </w:r>
    </w:p>
    <w:p w14:paraId="2E3A66CA" w14:textId="06A3E501" w:rsidR="00E70645" w:rsidRDefault="00E70645" w:rsidP="00284321">
      <w:r>
        <w:t xml:space="preserve">Please see section 2.1.4 "Eligible actions: actions for which an application may be made" for additional information on the Right-Based Approach methodology. </w:t>
      </w:r>
    </w:p>
    <w:p w14:paraId="68B7766B" w14:textId="6DA101E9" w:rsidR="00682EFC" w:rsidRDefault="000517AD" w:rsidP="00682EFC">
      <w:r>
        <w:t>Please find</w:t>
      </w:r>
      <w:r w:rsidR="00682EFC">
        <w:t xml:space="preserve"> </w:t>
      </w:r>
      <w:r w:rsidR="006A4B6C">
        <w:t xml:space="preserve">additional </w:t>
      </w:r>
      <w:r w:rsidR="00682EFC">
        <w:t>link</w:t>
      </w:r>
      <w:r>
        <w:t>s</w:t>
      </w:r>
      <w:r w:rsidR="00682EFC">
        <w:t xml:space="preserve"> to useful reference documents: </w:t>
      </w:r>
    </w:p>
    <w:p w14:paraId="023420B8" w14:textId="341F67AF" w:rsidR="00682EFC" w:rsidRDefault="00242059" w:rsidP="00CA11F8">
      <w:pPr>
        <w:numPr>
          <w:ilvl w:val="0"/>
          <w:numId w:val="63"/>
        </w:numPr>
      </w:pPr>
      <w:hyperlink r:id="rId17" w:history="1">
        <w:r w:rsidR="00682EFC" w:rsidRPr="00682EFC">
          <w:rPr>
            <w:rStyle w:val="Hyperlink"/>
          </w:rPr>
          <w:t>The UN Statement of Common Understanding on Human Rights-Based Approaches to Development Cooperation and Programming (the Common Understanding) adopted by the United Nations Development Group (UNDG) in 2003</w:t>
        </w:r>
        <w:r w:rsidR="00682EFC">
          <w:rPr>
            <w:rStyle w:val="FootnoteReference"/>
            <w:color w:val="0000FF"/>
            <w:u w:val="single"/>
          </w:rPr>
          <w:footnoteReference w:id="8"/>
        </w:r>
        <w:r w:rsidR="00682EFC" w:rsidRPr="00682EFC">
          <w:rPr>
            <w:rStyle w:val="Hyperlink"/>
          </w:rPr>
          <w:t>;</w:t>
        </w:r>
      </w:hyperlink>
    </w:p>
    <w:p w14:paraId="23B36466" w14:textId="288BACB2" w:rsidR="00682EFC" w:rsidRDefault="00242059" w:rsidP="00CA11F8">
      <w:pPr>
        <w:numPr>
          <w:ilvl w:val="0"/>
          <w:numId w:val="63"/>
        </w:numPr>
      </w:pPr>
      <w:hyperlink r:id="rId18" w:history="1">
        <w:r w:rsidR="00CE6C48" w:rsidRPr="00CE6C48">
          <w:rPr>
            <w:rStyle w:val="Hyperlink"/>
          </w:rPr>
          <w:t>OHCHR Human Rights B</w:t>
        </w:r>
        <w:r w:rsidR="00682EFC" w:rsidRPr="00CE6C48">
          <w:rPr>
            <w:rStyle w:val="Hyperlink"/>
          </w:rPr>
          <w:t xml:space="preserve">ased </w:t>
        </w:r>
        <w:r w:rsidR="00CE6C48" w:rsidRPr="00CE6C48">
          <w:rPr>
            <w:rStyle w:val="Hyperlink"/>
          </w:rPr>
          <w:t>A</w:t>
        </w:r>
        <w:r w:rsidR="00682EFC" w:rsidRPr="00CE6C48">
          <w:rPr>
            <w:rStyle w:val="Hyperlink"/>
          </w:rPr>
          <w:t>pproach Frequently</w:t>
        </w:r>
        <w:r w:rsidR="00CE6C48" w:rsidRPr="00CE6C48">
          <w:rPr>
            <w:rStyle w:val="Hyperlink"/>
          </w:rPr>
          <w:t xml:space="preserve"> Asked Q</w:t>
        </w:r>
        <w:r w:rsidR="00682EFC" w:rsidRPr="00CE6C48">
          <w:rPr>
            <w:rStyle w:val="Hyperlink"/>
          </w:rPr>
          <w:t>uestions</w:t>
        </w:r>
      </w:hyperlink>
      <w:r w:rsidR="00CE6C48">
        <w:rPr>
          <w:rStyle w:val="FootnoteReference"/>
        </w:rPr>
        <w:footnoteReference w:id="9"/>
      </w:r>
      <w:r w:rsidR="00682EFC">
        <w:t xml:space="preserve"> </w:t>
      </w:r>
    </w:p>
    <w:p w14:paraId="55F4006E" w14:textId="0CC16ED4" w:rsidR="00847240" w:rsidRPr="00543C7F" w:rsidRDefault="00847240" w:rsidP="00777617">
      <w:pPr>
        <w:rPr>
          <w:i/>
        </w:rPr>
      </w:pPr>
      <w:r w:rsidRPr="00543C7F">
        <w:rPr>
          <w:i/>
        </w:rPr>
        <w:t>Cross-cutting elements</w:t>
      </w:r>
    </w:p>
    <w:p w14:paraId="2063B1CC" w14:textId="7F19C1AD" w:rsidR="00396F99" w:rsidRDefault="00396F99" w:rsidP="00777617">
      <w:r>
        <w:t>I</w:t>
      </w:r>
      <w:r w:rsidR="00145B2A">
        <w:t>n the paragraph below</w:t>
      </w:r>
      <w:r>
        <w:t xml:space="preserve">, important elements are highlighted in order to guide you in the drafting process of your </w:t>
      </w:r>
      <w:r w:rsidR="00160B36">
        <w:t>proposal</w:t>
      </w:r>
      <w:r w:rsidR="005512A8">
        <w:t>, whenever relevant for the specific actions foreseen</w:t>
      </w:r>
      <w:r>
        <w:t xml:space="preserve">. </w:t>
      </w:r>
      <w:r w:rsidR="00160B36">
        <w:t>Therefore, the whole list of issues</w:t>
      </w:r>
      <w:r w:rsidR="00145B2A">
        <w:t>/elements</w:t>
      </w:r>
      <w:r w:rsidR="00160B36">
        <w:t xml:space="preserve"> </w:t>
      </w:r>
      <w:r w:rsidR="00145B2A">
        <w:t xml:space="preserve">highlighted </w:t>
      </w:r>
      <w:r w:rsidR="00160B36">
        <w:t>should not</w:t>
      </w:r>
      <w:r w:rsidR="00145B2A">
        <w:t xml:space="preserve"> necessarily </w:t>
      </w:r>
      <w:r w:rsidR="00160B36">
        <w:t>be integrated in your proposal.</w:t>
      </w:r>
      <w:r w:rsidR="00145B2A">
        <w:t xml:space="preserve"> </w:t>
      </w:r>
      <w:r w:rsidR="00160B36">
        <w:t xml:space="preserve">The selection procedure </w:t>
      </w:r>
      <w:r w:rsidR="00160B36" w:rsidRPr="00160B36">
        <w:t xml:space="preserve">will </w:t>
      </w:r>
      <w:r w:rsidR="00160B36">
        <w:t>evaluate proposals</w:t>
      </w:r>
      <w:r w:rsidR="00160B36" w:rsidRPr="00160B36">
        <w:t xml:space="preserve"> in their entirety depending on the context </w:t>
      </w:r>
      <w:r w:rsidR="00160B36">
        <w:t xml:space="preserve">of the activities proposed </w:t>
      </w:r>
      <w:r w:rsidR="00160B36" w:rsidRPr="00160B36">
        <w:t xml:space="preserve">and on the </w:t>
      </w:r>
      <w:r w:rsidR="00160B36" w:rsidRPr="00160B36">
        <w:lastRenderedPageBreak/>
        <w:t xml:space="preserve">target groups </w:t>
      </w:r>
      <w:r w:rsidR="00160B36">
        <w:t>and final beneficiaries</w:t>
      </w:r>
      <w:r w:rsidR="001E7245">
        <w:t xml:space="preserve">/rights holders </w:t>
      </w:r>
      <w:r w:rsidR="00160B36" w:rsidRPr="00160B36">
        <w:t xml:space="preserve">identified.  </w:t>
      </w:r>
      <w:r w:rsidR="00160B36">
        <w:t xml:space="preserve">These </w:t>
      </w:r>
      <w:r w:rsidR="00145B2A">
        <w:t xml:space="preserve">added value </w:t>
      </w:r>
      <w:r w:rsidR="00160B36">
        <w:t xml:space="preserve">elements should be reflected in the Concept Note under section 1.2.3 and 1.2.4 </w:t>
      </w:r>
      <w:r w:rsidR="00B90E81">
        <w:t>and in the Full P</w:t>
      </w:r>
      <w:r w:rsidR="00160B36">
        <w:t xml:space="preserve">roposal under section 2.1.1 and 2.1.2. </w:t>
      </w:r>
    </w:p>
    <w:p w14:paraId="0BF6A7A6" w14:textId="786293FE" w:rsidR="000E5216" w:rsidRDefault="00777617" w:rsidP="00777617">
      <w:r w:rsidRPr="00777617">
        <w:t xml:space="preserve">The proposals </w:t>
      </w:r>
      <w:r w:rsidR="001E7245" w:rsidRPr="00777617">
        <w:t>shall tackle</w:t>
      </w:r>
      <w:r w:rsidRPr="00777617">
        <w:t>, whenever relevant, inter-sectoral discriminations based on e.g. ethnicity, disability</w:t>
      </w:r>
      <w:r w:rsidR="00BB3122">
        <w:rPr>
          <w:rStyle w:val="FootnoteReference"/>
        </w:rPr>
        <w:footnoteReference w:id="10"/>
      </w:r>
      <w:r w:rsidRPr="00777617">
        <w:t>, age, gender identity and/or sexual orientation</w:t>
      </w:r>
      <w:r w:rsidR="00145B2A">
        <w:rPr>
          <w:rStyle w:val="FootnoteReference"/>
        </w:rPr>
        <w:footnoteReference w:id="11"/>
      </w:r>
      <w:r w:rsidRPr="00777617">
        <w:t xml:space="preserve">. In particular, attention should be given to actions empowering the most marginalised and vulnerable groups (indigenous peoples, </w:t>
      </w:r>
      <w:r w:rsidR="00B90E81">
        <w:t xml:space="preserve">migrants, </w:t>
      </w:r>
      <w:r w:rsidRPr="00777617">
        <w:t xml:space="preserve">refugees, cultural minorities, non-skilled workers, </w:t>
      </w:r>
      <w:r w:rsidR="00160B36">
        <w:t>childre</w:t>
      </w:r>
      <w:r w:rsidR="00C746A8">
        <w:t xml:space="preserve">n </w:t>
      </w:r>
      <w:r w:rsidRPr="00777617">
        <w:t xml:space="preserve">etc.) as well as taking into account the different risks and challenges that may be faced by women and men. </w:t>
      </w:r>
      <w:r w:rsidR="000E5216">
        <w:t xml:space="preserve">In addition, proposals should whenever relevant </w:t>
      </w:r>
      <w:r w:rsidR="00342AFB">
        <w:t>include</w:t>
      </w:r>
      <w:r w:rsidR="003060CA">
        <w:t xml:space="preserve"> conflict </w:t>
      </w:r>
      <w:r w:rsidR="00B90E81">
        <w:t>sensitivity. F</w:t>
      </w:r>
      <w:r w:rsidRPr="00777617">
        <w:t>ocus on the needs and challenges faced by targeted groups</w:t>
      </w:r>
      <w:r w:rsidR="001E7245">
        <w:t>/rights-holders</w:t>
      </w:r>
      <w:r w:rsidRPr="00777617">
        <w:t xml:space="preserve"> living outside the capitals and in remote areas, and/or encourage the constitution and capacity-building of networks of local organisations and implementing actors, including at regional level</w:t>
      </w:r>
      <w:r w:rsidR="00B90E81">
        <w:t xml:space="preserve"> should also be taken into account</w:t>
      </w:r>
      <w:r w:rsidRPr="00777617">
        <w:t>.</w:t>
      </w:r>
      <w:r w:rsidR="000E5216">
        <w:t xml:space="preserve"> </w:t>
      </w:r>
    </w:p>
    <w:p w14:paraId="15619E87" w14:textId="497DBC99" w:rsidR="00F97F17" w:rsidRDefault="00BB3122" w:rsidP="00777617">
      <w:r>
        <w:t>Furthermore, i</w:t>
      </w:r>
      <w:r w:rsidR="00633A9A" w:rsidRPr="00633A9A">
        <w:t xml:space="preserve">t is important that any organisation or group that works with children or young people has a clear set of guidelines about how they will keep children safe and to respond to child protection concerns. </w:t>
      </w:r>
      <w:r w:rsidR="00633A9A">
        <w:t>Therefore, a</w:t>
      </w:r>
      <w:r w:rsidR="00F97F17" w:rsidRPr="00F97F17">
        <w:t>pplicant</w:t>
      </w:r>
      <w:r w:rsidR="00006721">
        <w:t>s</w:t>
      </w:r>
      <w:r w:rsidR="00F97F17" w:rsidRPr="00F97F17">
        <w:t xml:space="preserve"> and co-applicants working directly with or for </w:t>
      </w:r>
      <w:r w:rsidR="00633A9A" w:rsidRPr="00F97F17">
        <w:t xml:space="preserve">children </w:t>
      </w:r>
      <w:r w:rsidR="00633A9A">
        <w:t xml:space="preserve">should demonstrate </w:t>
      </w:r>
      <w:r w:rsidR="00F82AA2">
        <w:t xml:space="preserve">in their proposals </w:t>
      </w:r>
      <w:r w:rsidR="00633A9A">
        <w:t>that a</w:t>
      </w:r>
      <w:r w:rsidR="00F97F17" w:rsidRPr="00F97F17">
        <w:t xml:space="preserve"> child protection polic</w:t>
      </w:r>
      <w:r w:rsidR="00006721">
        <w:t>y</w:t>
      </w:r>
      <w:r w:rsidR="00F97F17" w:rsidRPr="00F97F17">
        <w:t xml:space="preserve"> </w:t>
      </w:r>
      <w:r w:rsidR="00006721">
        <w:t xml:space="preserve">is </w:t>
      </w:r>
      <w:r w:rsidR="00F97F17" w:rsidRPr="00F97F17">
        <w:t>in place for any project activities that involve interactions with children</w:t>
      </w:r>
      <w:r>
        <w:rPr>
          <w:rStyle w:val="FootnoteReference"/>
        </w:rPr>
        <w:footnoteReference w:id="12"/>
      </w:r>
      <w:r w:rsidR="00633A9A">
        <w:t xml:space="preserve">. </w:t>
      </w:r>
    </w:p>
    <w:p w14:paraId="6CA6BF59" w14:textId="6C147DBA" w:rsidR="00777617" w:rsidRPr="00C120B8" w:rsidRDefault="00777617" w:rsidP="00777617">
      <w:r w:rsidRPr="00342AFB">
        <w:t xml:space="preserve">Priority will be given to proposals submitted by local </w:t>
      </w:r>
      <w:r w:rsidR="003C6537" w:rsidRPr="00342AFB">
        <w:t xml:space="preserve">organisations </w:t>
      </w:r>
      <w:r w:rsidR="00C13BED" w:rsidRPr="00342AFB">
        <w:t xml:space="preserve">or </w:t>
      </w:r>
      <w:r w:rsidR="00D5784E" w:rsidRPr="00342AFB">
        <w:t xml:space="preserve">by </w:t>
      </w:r>
      <w:r w:rsidR="00C13BED" w:rsidRPr="00342AFB">
        <w:t xml:space="preserve">regional networks/platforms of local organisations </w:t>
      </w:r>
      <w:r w:rsidR="00D5784E" w:rsidRPr="00342AFB">
        <w:t xml:space="preserve">established in one of the countries where the action will take place </w:t>
      </w:r>
      <w:r w:rsidR="003C6537" w:rsidRPr="00342AFB">
        <w:t>as</w:t>
      </w:r>
      <w:r w:rsidRPr="00342AFB">
        <w:t xml:space="preserve"> lead </w:t>
      </w:r>
      <w:r w:rsidR="009F1F68" w:rsidRPr="00342AFB">
        <w:t xml:space="preserve">applicants </w:t>
      </w:r>
      <w:r w:rsidR="008C4F38" w:rsidRPr="00C120B8">
        <w:rPr>
          <w:rStyle w:val="FootnoteReference"/>
        </w:rPr>
        <w:footnoteReference w:id="13"/>
      </w:r>
      <w:r w:rsidR="009E1FC2" w:rsidRPr="00C120B8" w:rsidDel="009E1FC2">
        <w:rPr>
          <w:rStyle w:val="FootnoteReference"/>
        </w:rPr>
        <w:t xml:space="preserve"> </w:t>
      </w:r>
      <w:r w:rsidR="00BB086E" w:rsidRPr="00C120B8">
        <w:t>(</w:t>
      </w:r>
      <w:r w:rsidR="009E1FC2" w:rsidRPr="00C120B8">
        <w:t xml:space="preserve">this aspect will be taken into consideration for the assessment of </w:t>
      </w:r>
      <w:r w:rsidR="00BB086E" w:rsidRPr="00C120B8">
        <w:t>section 1.1 of the Concept note evaluation grid and</w:t>
      </w:r>
      <w:r w:rsidR="009E1FC2" w:rsidRPr="00C120B8">
        <w:t xml:space="preserve"> sections 3.1, 3.2, 3.3 and 3.4 of the full application grid)</w:t>
      </w:r>
      <w:r w:rsidRPr="00C120B8">
        <w:t>.</w:t>
      </w:r>
      <w:r w:rsidR="00F97F17" w:rsidRPr="00C120B8">
        <w:t xml:space="preserve"> </w:t>
      </w:r>
    </w:p>
    <w:p w14:paraId="7CE76D9A" w14:textId="77777777" w:rsidR="00777617" w:rsidRPr="00061155" w:rsidRDefault="00777617" w:rsidP="00777617">
      <w:pPr>
        <w:spacing w:before="0" w:after="0"/>
      </w:pPr>
    </w:p>
    <w:p w14:paraId="77112D89" w14:textId="070FA097" w:rsidR="005512A8" w:rsidRDefault="00F206CA" w:rsidP="009F1F68">
      <w:pPr>
        <w:jc w:val="left"/>
      </w:pPr>
      <w:r w:rsidRPr="00F206CA">
        <w:t xml:space="preserve">Geographical balance will be taken into account by the </w:t>
      </w:r>
      <w:r w:rsidR="00E45D22">
        <w:t>Evaluation Committee</w:t>
      </w:r>
      <w:r w:rsidRPr="00F206CA">
        <w:t xml:space="preserve"> at any stage of the technical evaluation</w:t>
      </w:r>
      <w:r w:rsidR="005C1873">
        <w:t>.</w:t>
      </w:r>
      <w:r w:rsidR="005512A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77617" w:rsidRPr="00061155" w14:paraId="1344D1B1" w14:textId="77777777" w:rsidTr="00501074">
        <w:tc>
          <w:tcPr>
            <w:tcW w:w="9570" w:type="dxa"/>
          </w:tcPr>
          <w:p w14:paraId="5564B371" w14:textId="00A9398B" w:rsidR="00777617" w:rsidRPr="00061155" w:rsidRDefault="00777617" w:rsidP="00777617">
            <w:pPr>
              <w:rPr>
                <w:rFonts w:ascii="Times New Roman Bold" w:hAnsi="Times New Roman Bold"/>
                <w:b/>
                <w:smallCaps/>
              </w:rPr>
            </w:pPr>
            <w:r w:rsidRPr="00061155">
              <w:rPr>
                <w:rFonts w:ascii="Times New Roman Bold" w:hAnsi="Times New Roman Bold"/>
                <w:b/>
                <w:smallCaps/>
              </w:rPr>
              <w:t xml:space="preserve">LOT 1: </w:t>
            </w:r>
            <w:r w:rsidRPr="00777617">
              <w:rPr>
                <w:rFonts w:ascii="Times New Roman Bold" w:hAnsi="Times New Roman Bold"/>
                <w:b/>
                <w:smallCaps/>
              </w:rPr>
              <w:t>Supporting Human Rights Defenders in the area of land-related rights, indigenous peoples, in the context of inter alia 'land grabbing' and climate change.</w:t>
            </w:r>
          </w:p>
        </w:tc>
      </w:tr>
    </w:tbl>
    <w:p w14:paraId="54918D03" w14:textId="089508F7" w:rsidR="0039699C" w:rsidRPr="0039699C" w:rsidRDefault="0039699C" w:rsidP="0039699C">
      <w:pPr>
        <w:autoSpaceDE w:val="0"/>
        <w:autoSpaceDN w:val="0"/>
        <w:adjustRightInd w:val="0"/>
        <w:spacing w:after="0"/>
        <w:rPr>
          <w:color w:val="000000"/>
          <w:szCs w:val="22"/>
        </w:rPr>
      </w:pPr>
      <w:r w:rsidRPr="0039699C">
        <w:rPr>
          <w:color w:val="000000"/>
          <w:szCs w:val="22"/>
        </w:rPr>
        <w:t xml:space="preserve">Support for human rights defenders is one of the major priorities of the EU's external human rights policy and goes hand in hand with dedicated financial assistance granted </w:t>
      </w:r>
      <w:r w:rsidR="00543C7F">
        <w:rPr>
          <w:color w:val="000000"/>
          <w:szCs w:val="22"/>
        </w:rPr>
        <w:t>under</w:t>
      </w:r>
      <w:r w:rsidRPr="0039699C">
        <w:rPr>
          <w:color w:val="000000"/>
          <w:szCs w:val="22"/>
        </w:rPr>
        <w:t xml:space="preserve"> the EIDHR. </w:t>
      </w:r>
      <w:r w:rsidR="00543C7F">
        <w:rPr>
          <w:color w:val="000000"/>
          <w:szCs w:val="22"/>
        </w:rPr>
        <w:t>Indeed, s</w:t>
      </w:r>
      <w:r w:rsidRPr="0039699C">
        <w:rPr>
          <w:color w:val="000000"/>
          <w:szCs w:val="22"/>
        </w:rPr>
        <w:t xml:space="preserve">upport for human rights defenders is a priority of the EIDHR Regulation and </w:t>
      </w:r>
      <w:r w:rsidR="005512A8">
        <w:rPr>
          <w:color w:val="000000"/>
          <w:szCs w:val="22"/>
        </w:rPr>
        <w:t xml:space="preserve">a </w:t>
      </w:r>
      <w:r w:rsidRPr="0039699C">
        <w:rPr>
          <w:color w:val="000000"/>
          <w:szCs w:val="22"/>
        </w:rPr>
        <w:t xml:space="preserve">strong objective of the EIDHR Multiannual programming for 2014-2017. </w:t>
      </w:r>
    </w:p>
    <w:p w14:paraId="6EDB949D" w14:textId="0D9F93E3" w:rsidR="0039699C" w:rsidRDefault="0039699C" w:rsidP="0039699C">
      <w:pPr>
        <w:autoSpaceDE w:val="0"/>
        <w:autoSpaceDN w:val="0"/>
        <w:adjustRightInd w:val="0"/>
        <w:spacing w:before="0" w:after="0"/>
        <w:rPr>
          <w:color w:val="000000"/>
          <w:szCs w:val="22"/>
        </w:rPr>
      </w:pPr>
    </w:p>
    <w:p w14:paraId="21193547" w14:textId="049F9A6A" w:rsidR="00D64371" w:rsidRPr="00D64371" w:rsidRDefault="00D64371" w:rsidP="00D64371">
      <w:pPr>
        <w:autoSpaceDE w:val="0"/>
        <w:autoSpaceDN w:val="0"/>
        <w:adjustRightInd w:val="0"/>
        <w:spacing w:before="0" w:after="0"/>
        <w:rPr>
          <w:color w:val="000000"/>
          <w:szCs w:val="22"/>
        </w:rPr>
      </w:pPr>
      <w:r w:rsidRPr="00D64371">
        <w:rPr>
          <w:color w:val="000000"/>
          <w:szCs w:val="22"/>
        </w:rPr>
        <w:t xml:space="preserve">The support foreseen under Lot 1 is </w:t>
      </w:r>
      <w:r w:rsidR="005512A8">
        <w:rPr>
          <w:color w:val="000000"/>
          <w:szCs w:val="22"/>
        </w:rPr>
        <w:t xml:space="preserve">also </w:t>
      </w:r>
      <w:r w:rsidRPr="00D64371">
        <w:rPr>
          <w:color w:val="000000"/>
          <w:szCs w:val="22"/>
        </w:rPr>
        <w:t>fully in line with UN Resolution 70/161 of 17 December 2015</w:t>
      </w:r>
      <w:r>
        <w:rPr>
          <w:rStyle w:val="FootnoteReference"/>
          <w:color w:val="000000"/>
          <w:szCs w:val="22"/>
        </w:rPr>
        <w:footnoteReference w:id="14"/>
      </w:r>
      <w:r w:rsidRPr="00D64371">
        <w:rPr>
          <w:color w:val="000000"/>
          <w:szCs w:val="22"/>
        </w:rPr>
        <w:t xml:space="preserve"> and the March 2016 Human Rights Council Resolution 31/32</w:t>
      </w:r>
      <w:r>
        <w:rPr>
          <w:rStyle w:val="FootnoteReference"/>
          <w:color w:val="000000"/>
          <w:szCs w:val="22"/>
        </w:rPr>
        <w:footnoteReference w:id="15"/>
      </w:r>
      <w:r w:rsidRPr="00D64371">
        <w:rPr>
          <w:color w:val="000000"/>
          <w:szCs w:val="22"/>
        </w:rPr>
        <w:t xml:space="preserve"> on protecting defenders addressing economic, social and cultural rights. These Resolutions recognise the vital work of human rights defenders in promoting, protecting and advocating the realisation of economic, social and cultural rights, express concerns that threats and attacks against them as well as hindrance of their works have a negative impact on the realisation of those rights, including rights which relate to environmental and land issues</w:t>
      </w:r>
      <w:r w:rsidR="005512A8">
        <w:rPr>
          <w:color w:val="000000"/>
          <w:szCs w:val="22"/>
        </w:rPr>
        <w:t>. They</w:t>
      </w:r>
      <w:r w:rsidRPr="00D64371">
        <w:rPr>
          <w:color w:val="000000"/>
          <w:szCs w:val="22"/>
        </w:rPr>
        <w:t xml:space="preserve"> moreover express grave concern also at the observations and findings of the Special Rapporteur on the situation of human rights defenders addressing environmental and land issues and corporate responsibility. The March 2016 Resolution reaffirms the urgent need to respect, facilitate and promote the work of promoting and defending those rights, as a vital factor contributing towards their realisation, including </w:t>
      </w:r>
      <w:r w:rsidR="005512A8">
        <w:rPr>
          <w:color w:val="000000"/>
          <w:szCs w:val="22"/>
        </w:rPr>
        <w:t>when</w:t>
      </w:r>
      <w:r w:rsidRPr="00D64371">
        <w:rPr>
          <w:color w:val="000000"/>
          <w:szCs w:val="22"/>
        </w:rPr>
        <w:t xml:space="preserve"> they relate to environmental and land issues. </w:t>
      </w:r>
    </w:p>
    <w:p w14:paraId="5F1DB6C3" w14:textId="77777777" w:rsidR="00D64371" w:rsidRPr="00D64371" w:rsidRDefault="00D64371" w:rsidP="00D64371">
      <w:pPr>
        <w:autoSpaceDE w:val="0"/>
        <w:autoSpaceDN w:val="0"/>
        <w:adjustRightInd w:val="0"/>
        <w:spacing w:before="0" w:after="0"/>
        <w:rPr>
          <w:color w:val="000000"/>
          <w:szCs w:val="22"/>
        </w:rPr>
      </w:pPr>
    </w:p>
    <w:p w14:paraId="11F94C1B" w14:textId="0BEC67AD" w:rsidR="00D64371" w:rsidRPr="00D64371" w:rsidRDefault="00D64371" w:rsidP="00D64371">
      <w:pPr>
        <w:autoSpaceDE w:val="0"/>
        <w:autoSpaceDN w:val="0"/>
        <w:adjustRightInd w:val="0"/>
        <w:spacing w:before="0" w:after="0"/>
        <w:rPr>
          <w:color w:val="000000"/>
          <w:szCs w:val="22"/>
        </w:rPr>
      </w:pPr>
      <w:r w:rsidRPr="00D64371">
        <w:rPr>
          <w:color w:val="000000"/>
          <w:szCs w:val="22"/>
        </w:rPr>
        <w:t>Land-related rights and environmental issues</w:t>
      </w:r>
      <w:r w:rsidR="00E33211">
        <w:rPr>
          <w:color w:val="000000"/>
          <w:szCs w:val="22"/>
        </w:rPr>
        <w:t xml:space="preserve"> (including </w:t>
      </w:r>
      <w:r w:rsidR="008B1906">
        <w:rPr>
          <w:color w:val="000000"/>
          <w:szCs w:val="22"/>
        </w:rPr>
        <w:t>biodiversity and climate</w:t>
      </w:r>
      <w:r w:rsidR="00E33211">
        <w:rPr>
          <w:color w:val="000000"/>
          <w:szCs w:val="22"/>
        </w:rPr>
        <w:t>)</w:t>
      </w:r>
      <w:r w:rsidRPr="00D64371">
        <w:rPr>
          <w:color w:val="000000"/>
          <w:szCs w:val="22"/>
        </w:rPr>
        <w:t xml:space="preserve"> are enshrined in several international documents setting up international standards, such as the ILO Convention 169, the Voluntary Guidelines on the Responsible Governance of Tenure of Land, Fisheries and Forest (VGGT),</w:t>
      </w:r>
      <w:r w:rsidR="00E33211" w:rsidRPr="00D64371">
        <w:rPr>
          <w:color w:val="000000"/>
          <w:szCs w:val="22"/>
        </w:rPr>
        <w:t xml:space="preserve"> </w:t>
      </w:r>
      <w:r w:rsidRPr="00D64371">
        <w:rPr>
          <w:color w:val="000000"/>
          <w:szCs w:val="22"/>
        </w:rPr>
        <w:t>the UN Declaration on the Rights of Indigenous Peoples (UNDRIP), the UN Guiding Principles on business and human rights, the UN Guidelines on Forced Evictions, the 2003 Common Understanding on Human rights-based approaches as well as being key elements of several EU commitments such as the EU Human Rights Defenders guideline</w:t>
      </w:r>
      <w:r w:rsidR="005512A8">
        <w:rPr>
          <w:color w:val="000000"/>
          <w:szCs w:val="22"/>
        </w:rPr>
        <w:t>s</w:t>
      </w:r>
      <w:r w:rsidRPr="00D64371">
        <w:rPr>
          <w:color w:val="000000"/>
          <w:szCs w:val="22"/>
        </w:rPr>
        <w:t xml:space="preserve">, the EU </w:t>
      </w:r>
      <w:r w:rsidR="005512A8">
        <w:rPr>
          <w:color w:val="000000"/>
          <w:szCs w:val="22"/>
        </w:rPr>
        <w:t>R</w:t>
      </w:r>
      <w:r w:rsidRPr="00D64371">
        <w:rPr>
          <w:color w:val="000000"/>
          <w:szCs w:val="22"/>
        </w:rPr>
        <w:t>egulation on “conflict minerals”, the EU commitments regarding trade agreements to require partner governments to protect human rights, labour rights and the environment and regarding the reduction of deforestation through the Forest Law Enforcement, Governance and Trade (FLEGT) scheme.</w:t>
      </w:r>
    </w:p>
    <w:p w14:paraId="23E9658D" w14:textId="77777777" w:rsidR="00D64371" w:rsidRPr="00D64371" w:rsidRDefault="00D64371" w:rsidP="00D64371">
      <w:pPr>
        <w:autoSpaceDE w:val="0"/>
        <w:autoSpaceDN w:val="0"/>
        <w:adjustRightInd w:val="0"/>
        <w:spacing w:before="0" w:after="0"/>
        <w:rPr>
          <w:color w:val="000000"/>
          <w:szCs w:val="22"/>
        </w:rPr>
      </w:pPr>
    </w:p>
    <w:p w14:paraId="5023BBDC" w14:textId="51365B3E" w:rsidR="00D64371" w:rsidRPr="00D64371" w:rsidRDefault="00D64371" w:rsidP="00D64371">
      <w:pPr>
        <w:autoSpaceDE w:val="0"/>
        <w:autoSpaceDN w:val="0"/>
        <w:adjustRightInd w:val="0"/>
        <w:spacing w:before="0" w:after="0"/>
        <w:rPr>
          <w:color w:val="000000"/>
          <w:szCs w:val="22"/>
        </w:rPr>
      </w:pPr>
      <w:r w:rsidRPr="00D64371">
        <w:rPr>
          <w:color w:val="000000"/>
          <w:szCs w:val="22"/>
        </w:rPr>
        <w:t>Land and natural resources management is one of the most critical challenges the world faces today. Increasing competition over diminishing renewable resources, such as land and water, are on the rise. Furthermore, about 75% of the land worldwide is not legally documented</w:t>
      </w:r>
      <w:r w:rsidR="00543C7F">
        <w:rPr>
          <w:color w:val="000000"/>
          <w:szCs w:val="22"/>
        </w:rPr>
        <w:t>,</w:t>
      </w:r>
      <w:r w:rsidRPr="00D64371">
        <w:rPr>
          <w:color w:val="000000"/>
          <w:szCs w:val="22"/>
        </w:rPr>
        <w:t xml:space="preserve"> with negative repercussions for the poor and loss of opportunities for sustainable development, in particular for women. Conflicts over the rights to land and natural resources multiply and regrettably imply increasing repressions of land and environmental rights defenders. Repressions take various forms aiming at discouraging, discrediting and disrupting their non-violent activities. Smear, defamation, criminalisation and stigmatisation campaigns are widely used</w:t>
      </w:r>
      <w:r w:rsidR="00543C7F">
        <w:rPr>
          <w:color w:val="000000"/>
          <w:szCs w:val="22"/>
        </w:rPr>
        <w:t>.</w:t>
      </w:r>
      <w:r w:rsidRPr="00D64371">
        <w:rPr>
          <w:color w:val="000000"/>
          <w:szCs w:val="22"/>
        </w:rPr>
        <w:t xml:space="preserve"> There is a serious worry worldwide on the growing number of killings and violence </w:t>
      </w:r>
      <w:r w:rsidR="007115DF" w:rsidRPr="00D64371">
        <w:rPr>
          <w:color w:val="000000"/>
          <w:szCs w:val="22"/>
        </w:rPr>
        <w:t>perpetrat</w:t>
      </w:r>
      <w:r w:rsidR="00543C7F">
        <w:rPr>
          <w:color w:val="000000"/>
          <w:szCs w:val="22"/>
        </w:rPr>
        <w:t>ed both by State and non-State</w:t>
      </w:r>
      <w:r w:rsidR="007115DF" w:rsidRPr="00D64371">
        <w:rPr>
          <w:color w:val="000000"/>
          <w:szCs w:val="22"/>
        </w:rPr>
        <w:t xml:space="preserve"> actors </w:t>
      </w:r>
      <w:r w:rsidRPr="00D64371">
        <w:rPr>
          <w:color w:val="000000"/>
          <w:szCs w:val="22"/>
        </w:rPr>
        <w:t xml:space="preserve">towards activists who expose or oppose environmental destruction or land-grabbing, both being interlinked and often inseparable, in particular those activists who are living in remote area such as indigenous peoples' leaders and community members. In 2016, </w:t>
      </w:r>
      <w:r w:rsidRPr="00D64371">
        <w:rPr>
          <w:color w:val="000000"/>
          <w:szCs w:val="22"/>
        </w:rPr>
        <w:lastRenderedPageBreak/>
        <w:t>almost 50</w:t>
      </w:r>
      <w:r w:rsidRPr="00543C7F">
        <w:rPr>
          <w:color w:val="000000"/>
          <w:szCs w:val="22"/>
        </w:rPr>
        <w:t>%</w:t>
      </w:r>
      <w:r w:rsidR="001A6A81" w:rsidRPr="00543C7F">
        <w:rPr>
          <w:rStyle w:val="FootnoteReference"/>
          <w:color w:val="000000"/>
          <w:szCs w:val="22"/>
        </w:rPr>
        <w:footnoteReference w:id="16"/>
      </w:r>
      <w:r w:rsidRPr="00543C7F">
        <w:rPr>
          <w:color w:val="000000"/>
          <w:szCs w:val="22"/>
        </w:rPr>
        <w:t xml:space="preserve"> o</w:t>
      </w:r>
      <w:r w:rsidRPr="00D64371">
        <w:rPr>
          <w:color w:val="000000"/>
          <w:szCs w:val="22"/>
        </w:rPr>
        <w:t xml:space="preserve">f defenders reported murdered in 25 countries were working to defend land, indigenous and environmental rights. In 2015 and 2016, almost 50% </w:t>
      </w:r>
      <w:r w:rsidR="00543C7F">
        <w:rPr>
          <w:color w:val="000000"/>
          <w:szCs w:val="22"/>
        </w:rPr>
        <w:t xml:space="preserve">of the </w:t>
      </w:r>
      <w:r w:rsidR="00543C7F" w:rsidRPr="00D64371">
        <w:rPr>
          <w:color w:val="000000"/>
          <w:szCs w:val="22"/>
        </w:rPr>
        <w:t xml:space="preserve">documented cases of attacks against human rights defenders working on corporate accountability issues </w:t>
      </w:r>
      <w:r w:rsidRPr="00D64371">
        <w:rPr>
          <w:color w:val="000000"/>
          <w:szCs w:val="22"/>
        </w:rPr>
        <w:t xml:space="preserve">were linked to indigenous peoples, community members or environmental activists opposing business interests in the areas of land rights and/or climate &amp; environmental concerns. </w:t>
      </w:r>
    </w:p>
    <w:p w14:paraId="05EABFA4" w14:textId="77777777" w:rsidR="00D64371" w:rsidRPr="00D64371" w:rsidRDefault="00D64371" w:rsidP="00D64371">
      <w:pPr>
        <w:autoSpaceDE w:val="0"/>
        <w:autoSpaceDN w:val="0"/>
        <w:adjustRightInd w:val="0"/>
        <w:spacing w:before="0" w:after="0"/>
        <w:rPr>
          <w:color w:val="000000"/>
          <w:szCs w:val="22"/>
        </w:rPr>
      </w:pPr>
    </w:p>
    <w:p w14:paraId="19C6AC74" w14:textId="430090BA" w:rsidR="00D64371" w:rsidRPr="00D64371" w:rsidRDefault="00CA0A0E" w:rsidP="00D64371">
      <w:pPr>
        <w:autoSpaceDE w:val="0"/>
        <w:autoSpaceDN w:val="0"/>
        <w:adjustRightInd w:val="0"/>
        <w:spacing w:before="0" w:after="0"/>
        <w:rPr>
          <w:color w:val="000000"/>
          <w:szCs w:val="22"/>
        </w:rPr>
      </w:pPr>
      <w:r w:rsidRPr="00D64371">
        <w:rPr>
          <w:color w:val="000000"/>
          <w:szCs w:val="22"/>
        </w:rPr>
        <w:t xml:space="preserve">The </w:t>
      </w:r>
      <w:r w:rsidRPr="005E05D0">
        <w:rPr>
          <w:b/>
          <w:color w:val="000000"/>
          <w:szCs w:val="22"/>
        </w:rPr>
        <w:t>general objective of Lot 1</w:t>
      </w:r>
      <w:r w:rsidRPr="00D64371">
        <w:rPr>
          <w:color w:val="000000"/>
          <w:szCs w:val="22"/>
        </w:rPr>
        <w:t xml:space="preserve"> is to </w:t>
      </w:r>
      <w:r>
        <w:rPr>
          <w:color w:val="000000"/>
          <w:szCs w:val="22"/>
        </w:rPr>
        <w:t>support</w:t>
      </w:r>
      <w:r w:rsidR="00E33211">
        <w:rPr>
          <w:color w:val="000000"/>
          <w:szCs w:val="22"/>
        </w:rPr>
        <w:t>,</w:t>
      </w:r>
      <w:r w:rsidR="00A6469E">
        <w:rPr>
          <w:color w:val="000000"/>
          <w:szCs w:val="22"/>
        </w:rPr>
        <w:t xml:space="preserve"> </w:t>
      </w:r>
      <w:r>
        <w:rPr>
          <w:color w:val="000000"/>
          <w:szCs w:val="22"/>
        </w:rPr>
        <w:t>protect</w:t>
      </w:r>
      <w:r w:rsidR="00E33211">
        <w:rPr>
          <w:color w:val="000000"/>
          <w:szCs w:val="22"/>
        </w:rPr>
        <w:t xml:space="preserve"> and enable</w:t>
      </w:r>
      <w:r w:rsidR="00D64371" w:rsidRPr="00D64371">
        <w:rPr>
          <w:color w:val="000000"/>
          <w:szCs w:val="22"/>
        </w:rPr>
        <w:t xml:space="preserve"> Human Rights Def</w:t>
      </w:r>
      <w:r>
        <w:rPr>
          <w:color w:val="000000"/>
          <w:szCs w:val="22"/>
        </w:rPr>
        <w:t xml:space="preserve">enders (HRDs) </w:t>
      </w:r>
      <w:r w:rsidR="005E05D0">
        <w:rPr>
          <w:color w:val="000000"/>
          <w:szCs w:val="22"/>
        </w:rPr>
        <w:t>and HRDs organisations that</w:t>
      </w:r>
      <w:r w:rsidR="00D64371" w:rsidRPr="00D64371">
        <w:rPr>
          <w:color w:val="000000"/>
          <w:szCs w:val="22"/>
        </w:rPr>
        <w:t xml:space="preserve"> are working on land and other natural resources-related rights (waters, subsoil, forest, extractives, etc.)</w:t>
      </w:r>
      <w:r w:rsidR="00A6469E">
        <w:rPr>
          <w:color w:val="000000"/>
          <w:szCs w:val="22"/>
        </w:rPr>
        <w:t xml:space="preserve"> </w:t>
      </w:r>
      <w:r w:rsidR="00851F92">
        <w:rPr>
          <w:color w:val="000000"/>
          <w:szCs w:val="22"/>
        </w:rPr>
        <w:t>including in context of ‘land grabbing’ , climate change</w:t>
      </w:r>
      <w:r>
        <w:rPr>
          <w:color w:val="000000"/>
          <w:szCs w:val="22"/>
        </w:rPr>
        <w:t xml:space="preserve"> and/or</w:t>
      </w:r>
      <w:r w:rsidR="00D64371" w:rsidRPr="00D64371">
        <w:rPr>
          <w:color w:val="000000"/>
          <w:szCs w:val="22"/>
        </w:rPr>
        <w:t xml:space="preserve"> indigenous peoples</w:t>
      </w:r>
      <w:r>
        <w:rPr>
          <w:color w:val="000000"/>
          <w:szCs w:val="22"/>
        </w:rPr>
        <w:t xml:space="preserve">' </w:t>
      </w:r>
      <w:r w:rsidR="00CD146D">
        <w:rPr>
          <w:color w:val="000000"/>
          <w:szCs w:val="22"/>
        </w:rPr>
        <w:t>.</w:t>
      </w:r>
      <w:r>
        <w:rPr>
          <w:color w:val="000000"/>
          <w:szCs w:val="22"/>
        </w:rPr>
        <w:t>rights</w:t>
      </w:r>
      <w:r w:rsidR="00E33211">
        <w:rPr>
          <w:color w:val="000000"/>
          <w:szCs w:val="22"/>
        </w:rPr>
        <w:t>.</w:t>
      </w:r>
    </w:p>
    <w:p w14:paraId="75D2A89E" w14:textId="77777777" w:rsidR="00D64371" w:rsidRPr="00D64371" w:rsidRDefault="00D64371" w:rsidP="00D64371">
      <w:pPr>
        <w:autoSpaceDE w:val="0"/>
        <w:autoSpaceDN w:val="0"/>
        <w:adjustRightInd w:val="0"/>
        <w:spacing w:before="0" w:after="0"/>
        <w:rPr>
          <w:color w:val="000000"/>
          <w:szCs w:val="22"/>
        </w:rPr>
      </w:pPr>
    </w:p>
    <w:p w14:paraId="06CE91CF" w14:textId="7A78653F" w:rsidR="00D64371" w:rsidRPr="00D64371" w:rsidRDefault="00CA0A0E" w:rsidP="00D64371">
      <w:pPr>
        <w:autoSpaceDE w:val="0"/>
        <w:autoSpaceDN w:val="0"/>
        <w:adjustRightInd w:val="0"/>
        <w:spacing w:before="0" w:after="0"/>
        <w:rPr>
          <w:color w:val="000000"/>
          <w:szCs w:val="22"/>
        </w:rPr>
      </w:pPr>
      <w:r>
        <w:rPr>
          <w:color w:val="000000"/>
          <w:szCs w:val="22"/>
        </w:rPr>
        <w:t>T</w:t>
      </w:r>
      <w:r w:rsidR="00D64371" w:rsidRPr="00D64371">
        <w:rPr>
          <w:color w:val="000000"/>
          <w:szCs w:val="22"/>
        </w:rPr>
        <w:t xml:space="preserve">he </w:t>
      </w:r>
      <w:r w:rsidR="00D64371" w:rsidRPr="005E05D0">
        <w:rPr>
          <w:b/>
          <w:color w:val="000000"/>
          <w:szCs w:val="22"/>
        </w:rPr>
        <w:t>specific objectives of Lot 1</w:t>
      </w:r>
      <w:r w:rsidR="00D64371" w:rsidRPr="00D64371">
        <w:rPr>
          <w:color w:val="000000"/>
          <w:szCs w:val="22"/>
        </w:rPr>
        <w:t xml:space="preserve"> </w:t>
      </w:r>
      <w:r w:rsidR="00585382" w:rsidRPr="00D64371">
        <w:rPr>
          <w:color w:val="000000"/>
          <w:szCs w:val="22"/>
        </w:rPr>
        <w:t>are</w:t>
      </w:r>
      <w:r w:rsidR="00585382">
        <w:rPr>
          <w:color w:val="000000"/>
          <w:szCs w:val="22"/>
        </w:rPr>
        <w:t>:</w:t>
      </w:r>
    </w:p>
    <w:p w14:paraId="685883AA" w14:textId="68ED88E8" w:rsidR="00D64371" w:rsidRPr="00D64371" w:rsidRDefault="005E05D0" w:rsidP="005E05D0">
      <w:pPr>
        <w:numPr>
          <w:ilvl w:val="0"/>
          <w:numId w:val="55"/>
        </w:numPr>
        <w:autoSpaceDE w:val="0"/>
        <w:autoSpaceDN w:val="0"/>
        <w:adjustRightInd w:val="0"/>
        <w:spacing w:before="0" w:after="0"/>
        <w:rPr>
          <w:color w:val="000000"/>
          <w:szCs w:val="22"/>
        </w:rPr>
      </w:pPr>
      <w:r w:rsidRPr="000B3A3A">
        <w:rPr>
          <w:b/>
          <w:i/>
          <w:color w:val="000000"/>
          <w:szCs w:val="22"/>
        </w:rPr>
        <w:t>to reinforce the short and long-term c</w:t>
      </w:r>
      <w:r w:rsidR="00D64371" w:rsidRPr="000B3A3A">
        <w:rPr>
          <w:b/>
          <w:i/>
          <w:color w:val="000000"/>
          <w:szCs w:val="22"/>
        </w:rPr>
        <w:t>apacities</w:t>
      </w:r>
      <w:r w:rsidR="00D64371" w:rsidRPr="00D64371">
        <w:rPr>
          <w:color w:val="000000"/>
          <w:szCs w:val="22"/>
        </w:rPr>
        <w:t xml:space="preserve"> </w:t>
      </w:r>
      <w:r>
        <w:rPr>
          <w:color w:val="000000"/>
          <w:szCs w:val="22"/>
        </w:rPr>
        <w:t xml:space="preserve">of these HRDs and HRDs' organisations </w:t>
      </w:r>
      <w:r w:rsidR="00D64371" w:rsidRPr="00D64371">
        <w:rPr>
          <w:color w:val="000000"/>
          <w:szCs w:val="22"/>
        </w:rPr>
        <w:t xml:space="preserve">to do their work </w:t>
      </w:r>
      <w:r>
        <w:rPr>
          <w:color w:val="000000"/>
          <w:szCs w:val="22"/>
        </w:rPr>
        <w:t xml:space="preserve">on </w:t>
      </w:r>
      <w:r w:rsidRPr="00D64371">
        <w:rPr>
          <w:color w:val="000000"/>
          <w:szCs w:val="22"/>
        </w:rPr>
        <w:t>environmental and land issues at local/national level</w:t>
      </w:r>
      <w:r>
        <w:rPr>
          <w:color w:val="000000"/>
          <w:szCs w:val="22"/>
        </w:rPr>
        <w:t>,</w:t>
      </w:r>
      <w:r w:rsidRPr="00D64371">
        <w:rPr>
          <w:color w:val="000000"/>
          <w:szCs w:val="22"/>
        </w:rPr>
        <w:t xml:space="preserve"> </w:t>
      </w:r>
      <w:r w:rsidR="00D64371" w:rsidRPr="00D64371">
        <w:rPr>
          <w:color w:val="000000"/>
          <w:szCs w:val="22"/>
        </w:rPr>
        <w:t xml:space="preserve">to take their cases to the relevant </w:t>
      </w:r>
      <w:r w:rsidRPr="005E05D0">
        <w:rPr>
          <w:color w:val="000000"/>
          <w:szCs w:val="22"/>
        </w:rPr>
        <w:t xml:space="preserve">national, regional or international human rights </w:t>
      </w:r>
      <w:r>
        <w:rPr>
          <w:color w:val="000000"/>
          <w:szCs w:val="22"/>
        </w:rPr>
        <w:t xml:space="preserve">bodies and </w:t>
      </w:r>
      <w:r w:rsidRPr="005E05D0">
        <w:rPr>
          <w:color w:val="000000"/>
          <w:szCs w:val="22"/>
        </w:rPr>
        <w:t>mechanisms and to apply internationally recognised frameworks, safeguards and guidelines in the defence of land and environment</w:t>
      </w:r>
      <w:r>
        <w:rPr>
          <w:color w:val="000000"/>
          <w:szCs w:val="22"/>
        </w:rPr>
        <w:t>, including with respect to exercising their right to</w:t>
      </w:r>
      <w:r w:rsidRPr="00D64371">
        <w:rPr>
          <w:color w:val="000000"/>
          <w:szCs w:val="22"/>
        </w:rPr>
        <w:t xml:space="preserve"> due diligence and Free, Prior and Informed Consent (FPIC)</w:t>
      </w:r>
      <w:r w:rsidR="00D64371" w:rsidRPr="00D64371">
        <w:rPr>
          <w:color w:val="000000"/>
          <w:szCs w:val="22"/>
        </w:rPr>
        <w:t>;</w:t>
      </w:r>
      <w:r w:rsidR="00CA0A0E">
        <w:rPr>
          <w:color w:val="000000"/>
          <w:szCs w:val="22"/>
        </w:rPr>
        <w:t xml:space="preserve"> </w:t>
      </w:r>
      <w:r w:rsidR="00CA0A0E" w:rsidRPr="00CA0A0E">
        <w:rPr>
          <w:b/>
          <w:color w:val="000000"/>
          <w:szCs w:val="22"/>
        </w:rPr>
        <w:t>and/or</w:t>
      </w:r>
    </w:p>
    <w:p w14:paraId="094A856B" w14:textId="44CE4F3B" w:rsidR="00D64371" w:rsidRPr="00D64371" w:rsidRDefault="00D64371" w:rsidP="00CA0A0E">
      <w:pPr>
        <w:numPr>
          <w:ilvl w:val="0"/>
          <w:numId w:val="55"/>
        </w:numPr>
        <w:autoSpaceDE w:val="0"/>
        <w:autoSpaceDN w:val="0"/>
        <w:adjustRightInd w:val="0"/>
        <w:spacing w:before="0" w:after="0"/>
        <w:rPr>
          <w:color w:val="000000"/>
          <w:szCs w:val="22"/>
        </w:rPr>
      </w:pPr>
      <w:r w:rsidRPr="000B3A3A">
        <w:rPr>
          <w:b/>
          <w:i/>
          <w:color w:val="000000"/>
          <w:szCs w:val="22"/>
        </w:rPr>
        <w:t>to reinforce their resilience capacities</w:t>
      </w:r>
      <w:r w:rsidRPr="00D64371">
        <w:rPr>
          <w:color w:val="000000"/>
          <w:szCs w:val="22"/>
        </w:rPr>
        <w:t xml:space="preserve"> to face severe repression through defamation, smear and stigmatisation at different level, community and public opinion, with a strong gender perspective;</w:t>
      </w:r>
      <w:r w:rsidR="00CA0A0E">
        <w:rPr>
          <w:color w:val="000000"/>
          <w:szCs w:val="22"/>
        </w:rPr>
        <w:t xml:space="preserve"> </w:t>
      </w:r>
      <w:r w:rsidR="00CA0A0E" w:rsidRPr="00CA0A0E">
        <w:rPr>
          <w:b/>
          <w:color w:val="000000"/>
          <w:szCs w:val="22"/>
        </w:rPr>
        <w:t>and/or</w:t>
      </w:r>
      <w:r w:rsidRPr="00D64371">
        <w:rPr>
          <w:color w:val="000000"/>
          <w:szCs w:val="22"/>
        </w:rPr>
        <w:t xml:space="preserve">   </w:t>
      </w:r>
    </w:p>
    <w:p w14:paraId="3713B4A4" w14:textId="7ED9D02D" w:rsidR="00CA0A0E" w:rsidRDefault="00D64371" w:rsidP="000B3A3A">
      <w:pPr>
        <w:numPr>
          <w:ilvl w:val="0"/>
          <w:numId w:val="55"/>
        </w:numPr>
        <w:autoSpaceDE w:val="0"/>
        <w:autoSpaceDN w:val="0"/>
        <w:adjustRightInd w:val="0"/>
        <w:spacing w:before="0" w:after="0"/>
        <w:rPr>
          <w:color w:val="000000"/>
          <w:szCs w:val="22"/>
        </w:rPr>
      </w:pPr>
      <w:proofErr w:type="gramStart"/>
      <w:r w:rsidRPr="000B3A3A">
        <w:rPr>
          <w:b/>
          <w:i/>
          <w:color w:val="000000"/>
          <w:szCs w:val="22"/>
        </w:rPr>
        <w:t>to</w:t>
      </w:r>
      <w:proofErr w:type="gramEnd"/>
      <w:r w:rsidRPr="000B3A3A">
        <w:rPr>
          <w:b/>
          <w:i/>
          <w:color w:val="000000"/>
          <w:szCs w:val="22"/>
        </w:rPr>
        <w:t xml:space="preserve"> </w:t>
      </w:r>
      <w:r w:rsidR="009A3869" w:rsidRPr="000B3A3A">
        <w:rPr>
          <w:b/>
          <w:i/>
          <w:color w:val="000000"/>
          <w:szCs w:val="22"/>
        </w:rPr>
        <w:t>support their engagement with State and non-State actors</w:t>
      </w:r>
      <w:r w:rsidR="009A3869">
        <w:rPr>
          <w:color w:val="000000"/>
          <w:szCs w:val="22"/>
        </w:rPr>
        <w:t xml:space="preserve"> (notably </w:t>
      </w:r>
      <w:r w:rsidR="009A3869" w:rsidRPr="009A3869">
        <w:rPr>
          <w:szCs w:val="22"/>
        </w:rPr>
        <w:t>leading responsible business associations and investors</w:t>
      </w:r>
      <w:r w:rsidR="009A3869">
        <w:rPr>
          <w:szCs w:val="22"/>
        </w:rPr>
        <w:t>)</w:t>
      </w:r>
      <w:r w:rsidR="009A3869">
        <w:rPr>
          <w:color w:val="000000"/>
          <w:szCs w:val="22"/>
        </w:rPr>
        <w:t xml:space="preserve"> </w:t>
      </w:r>
      <w:r w:rsidR="000B3A3A">
        <w:rPr>
          <w:color w:val="000000"/>
          <w:szCs w:val="22"/>
        </w:rPr>
        <w:t>through</w:t>
      </w:r>
      <w:r w:rsidR="000B3A3A" w:rsidRPr="000B3A3A">
        <w:rPr>
          <w:color w:val="000000"/>
          <w:szCs w:val="22"/>
        </w:rPr>
        <w:t xml:space="preserve"> dialogues and mediation activities</w:t>
      </w:r>
      <w:r w:rsidR="009A3869">
        <w:rPr>
          <w:color w:val="000000"/>
          <w:szCs w:val="22"/>
        </w:rPr>
        <w:t xml:space="preserve"> to</w:t>
      </w:r>
      <w:r w:rsidR="009A3869" w:rsidRPr="009A3869">
        <w:rPr>
          <w:szCs w:val="22"/>
        </w:rPr>
        <w:t xml:space="preserve"> </w:t>
      </w:r>
      <w:r w:rsidR="000B3A3A">
        <w:rPr>
          <w:szCs w:val="22"/>
        </w:rPr>
        <w:t xml:space="preserve">ensure the respect of their rights, and to </w:t>
      </w:r>
      <w:r w:rsidR="009A3869" w:rsidRPr="009A3869">
        <w:rPr>
          <w:szCs w:val="22"/>
        </w:rPr>
        <w:t>overcome</w:t>
      </w:r>
      <w:r w:rsidR="009A3869">
        <w:rPr>
          <w:szCs w:val="22"/>
        </w:rPr>
        <w:t xml:space="preserve"> impunity and</w:t>
      </w:r>
      <w:r w:rsidR="009A3869" w:rsidRPr="009A3869">
        <w:rPr>
          <w:szCs w:val="22"/>
        </w:rPr>
        <w:t xml:space="preserve"> the lack of access to remedy</w:t>
      </w:r>
      <w:r w:rsidR="009A3869">
        <w:rPr>
          <w:szCs w:val="22"/>
        </w:rPr>
        <w:t xml:space="preserve"> for victims</w:t>
      </w:r>
      <w:r w:rsidR="005E05D0">
        <w:rPr>
          <w:color w:val="000000"/>
          <w:szCs w:val="22"/>
        </w:rPr>
        <w:t>.</w:t>
      </w:r>
    </w:p>
    <w:p w14:paraId="529B2D39" w14:textId="77777777" w:rsidR="00092331" w:rsidRDefault="00092331" w:rsidP="00092331">
      <w:pPr>
        <w:autoSpaceDE w:val="0"/>
        <w:autoSpaceDN w:val="0"/>
        <w:adjustRightInd w:val="0"/>
        <w:spacing w:before="0" w:after="0"/>
        <w:rPr>
          <w:color w:val="000000"/>
          <w:szCs w:val="22"/>
        </w:rPr>
      </w:pPr>
    </w:p>
    <w:p w14:paraId="2622C44B" w14:textId="011839C9" w:rsidR="00092331" w:rsidRDefault="00092331" w:rsidP="00092331">
      <w:pPr>
        <w:autoSpaceDE w:val="0"/>
        <w:autoSpaceDN w:val="0"/>
        <w:adjustRightInd w:val="0"/>
        <w:spacing w:before="0" w:after="0"/>
        <w:rPr>
          <w:color w:val="000000"/>
          <w:szCs w:val="22"/>
        </w:rPr>
      </w:pPr>
      <w:r w:rsidRPr="00092331">
        <w:rPr>
          <w:color w:val="000000"/>
          <w:szCs w:val="22"/>
        </w:rPr>
        <w:t xml:space="preserve">For the purpose of this call, actions should focus on </w:t>
      </w:r>
      <w:r w:rsidRPr="00092331">
        <w:rPr>
          <w:b/>
          <w:color w:val="000000"/>
          <w:szCs w:val="22"/>
          <w:u w:val="single"/>
        </w:rPr>
        <w:t>at least one</w:t>
      </w:r>
      <w:r w:rsidRPr="00092331">
        <w:rPr>
          <w:color w:val="000000"/>
          <w:szCs w:val="22"/>
        </w:rPr>
        <w:t xml:space="preserve"> of the specific objectives mentioned above</w:t>
      </w:r>
      <w:r>
        <w:rPr>
          <w:color w:val="000000"/>
          <w:szCs w:val="22"/>
        </w:rPr>
        <w:t>.</w:t>
      </w:r>
    </w:p>
    <w:p w14:paraId="4B62075F" w14:textId="77777777" w:rsidR="0039699C" w:rsidRPr="0039699C" w:rsidRDefault="0039699C" w:rsidP="0039699C">
      <w:pPr>
        <w:spacing w:before="0" w:after="0"/>
        <w:rPr>
          <w:szCs w:val="22"/>
        </w:rPr>
      </w:pPr>
    </w:p>
    <w:p w14:paraId="0AC1AAA5" w14:textId="77777777" w:rsidR="0039699C" w:rsidRPr="0039699C" w:rsidRDefault="0039699C" w:rsidP="0039699C">
      <w:pPr>
        <w:spacing w:before="0" w:after="0"/>
        <w:rPr>
          <w:szCs w:val="22"/>
        </w:rPr>
      </w:pPr>
      <w:r w:rsidRPr="0039699C">
        <w:rPr>
          <w:szCs w:val="22"/>
          <w:u w:val="single"/>
        </w:rPr>
        <w:t>Indicative and non-exhaustive list of activities for Lot 1</w:t>
      </w:r>
      <w:r w:rsidRPr="0039699C">
        <w:rPr>
          <w:szCs w:val="22"/>
        </w:rPr>
        <w:t xml:space="preserve">: </w:t>
      </w:r>
    </w:p>
    <w:p w14:paraId="42BC3B55" w14:textId="77777777" w:rsidR="0039699C" w:rsidRPr="0039699C" w:rsidRDefault="0039699C" w:rsidP="0039699C">
      <w:pPr>
        <w:spacing w:before="0" w:after="0"/>
        <w:rPr>
          <w:szCs w:val="22"/>
        </w:rPr>
      </w:pPr>
    </w:p>
    <w:p w14:paraId="4E7C90EE" w14:textId="453C40B6" w:rsidR="0039699C" w:rsidRPr="0039699C" w:rsidRDefault="0039699C" w:rsidP="0039699C">
      <w:pPr>
        <w:numPr>
          <w:ilvl w:val="0"/>
          <w:numId w:val="43"/>
        </w:numPr>
        <w:spacing w:before="0" w:after="0"/>
        <w:rPr>
          <w:szCs w:val="22"/>
        </w:rPr>
      </w:pPr>
      <w:r w:rsidRPr="0039699C">
        <w:rPr>
          <w:szCs w:val="22"/>
        </w:rPr>
        <w:t xml:space="preserve">Development of integrated protection systems that entail not only the physical protection </w:t>
      </w:r>
      <w:r w:rsidR="007115DF">
        <w:rPr>
          <w:szCs w:val="22"/>
        </w:rPr>
        <w:t xml:space="preserve">of </w:t>
      </w:r>
      <w:r w:rsidR="005E05D0">
        <w:rPr>
          <w:szCs w:val="22"/>
        </w:rPr>
        <w:t>HRD</w:t>
      </w:r>
      <w:r w:rsidR="007115DF">
        <w:rPr>
          <w:szCs w:val="22"/>
        </w:rPr>
        <w:t xml:space="preserve">s at risk </w:t>
      </w:r>
      <w:r w:rsidRPr="0039699C">
        <w:rPr>
          <w:szCs w:val="22"/>
        </w:rPr>
        <w:t>but also measures that support the</w:t>
      </w:r>
      <w:r w:rsidR="005E05D0">
        <w:rPr>
          <w:szCs w:val="22"/>
        </w:rPr>
        <w:t>ir</w:t>
      </w:r>
      <w:r w:rsidRPr="0039699C">
        <w:rPr>
          <w:szCs w:val="22"/>
        </w:rPr>
        <w:t xml:space="preserve"> wellbeing, comprising psycho-social support and access to health services when needed; development of appropriate preventive capabilities and enhanced preparedness of local civil society organisations</w:t>
      </w:r>
      <w:r w:rsidR="00CF02C0">
        <w:rPr>
          <w:szCs w:val="22"/>
        </w:rPr>
        <w:t>, including indigenous peoples’ organisations</w:t>
      </w:r>
      <w:r w:rsidRPr="0039699C">
        <w:rPr>
          <w:szCs w:val="22"/>
        </w:rPr>
        <w:t xml:space="preserve"> to </w:t>
      </w:r>
      <w:r w:rsidR="00583B5B">
        <w:rPr>
          <w:szCs w:val="22"/>
        </w:rPr>
        <w:t xml:space="preserve">provide </w:t>
      </w:r>
      <w:r w:rsidRPr="0039699C">
        <w:rPr>
          <w:szCs w:val="22"/>
        </w:rPr>
        <w:t xml:space="preserve">the protection </w:t>
      </w:r>
      <w:r w:rsidR="00583B5B">
        <w:rPr>
          <w:szCs w:val="22"/>
        </w:rPr>
        <w:t>against violations and abuses of</w:t>
      </w:r>
      <w:r w:rsidRPr="0039699C">
        <w:rPr>
          <w:szCs w:val="22"/>
        </w:rPr>
        <w:t xml:space="preserve"> human rights and fundamental freedoms</w:t>
      </w:r>
      <w:r w:rsidR="005E05D0">
        <w:rPr>
          <w:szCs w:val="22"/>
        </w:rPr>
        <w:t>;</w:t>
      </w:r>
    </w:p>
    <w:p w14:paraId="1BD0D5BA" w14:textId="77777777" w:rsidR="0039699C" w:rsidRPr="0039699C" w:rsidRDefault="0039699C" w:rsidP="0039699C">
      <w:pPr>
        <w:numPr>
          <w:ilvl w:val="0"/>
          <w:numId w:val="43"/>
        </w:numPr>
        <w:spacing w:before="0" w:after="0"/>
        <w:rPr>
          <w:szCs w:val="22"/>
        </w:rPr>
      </w:pPr>
      <w:r w:rsidRPr="0039699C">
        <w:rPr>
          <w:szCs w:val="22"/>
        </w:rPr>
        <w:t>Provision of medical and psycho-social assistance, legal counselling and any other type of support, including to those placed in detention or in prison as well as to their relatives;</w:t>
      </w:r>
    </w:p>
    <w:p w14:paraId="35A3FD30" w14:textId="77777777" w:rsidR="0039699C" w:rsidRPr="0039699C" w:rsidRDefault="0039699C" w:rsidP="0039699C">
      <w:pPr>
        <w:numPr>
          <w:ilvl w:val="0"/>
          <w:numId w:val="43"/>
        </w:numPr>
        <w:spacing w:before="0" w:after="0"/>
        <w:rPr>
          <w:szCs w:val="22"/>
        </w:rPr>
      </w:pPr>
      <w:r w:rsidRPr="0039699C">
        <w:rPr>
          <w:szCs w:val="22"/>
        </w:rPr>
        <w:t>Temporary relocation for those who are threatened or in danger (including their family);</w:t>
      </w:r>
    </w:p>
    <w:p w14:paraId="6F34F240" w14:textId="77777777" w:rsidR="0039699C" w:rsidRPr="0039699C" w:rsidRDefault="0039699C" w:rsidP="0039699C">
      <w:pPr>
        <w:numPr>
          <w:ilvl w:val="0"/>
          <w:numId w:val="43"/>
        </w:numPr>
        <w:spacing w:before="0" w:after="0"/>
        <w:rPr>
          <w:szCs w:val="22"/>
        </w:rPr>
      </w:pPr>
      <w:r w:rsidRPr="0039699C">
        <w:rPr>
          <w:szCs w:val="22"/>
        </w:rPr>
        <w:t>Promoting and supporting networking, coordination and cooperation at all levels to break the isolation of HRDs acting in the most difficult situations and remote areas;</w:t>
      </w:r>
    </w:p>
    <w:p w14:paraId="5D3E7CF5" w14:textId="2D5736E3" w:rsidR="0039699C" w:rsidRPr="0039699C" w:rsidRDefault="0039699C" w:rsidP="0039699C">
      <w:pPr>
        <w:numPr>
          <w:ilvl w:val="0"/>
          <w:numId w:val="43"/>
        </w:numPr>
        <w:spacing w:before="0" w:after="0"/>
        <w:rPr>
          <w:szCs w:val="22"/>
        </w:rPr>
      </w:pPr>
      <w:r w:rsidRPr="0039699C">
        <w:rPr>
          <w:szCs w:val="22"/>
        </w:rPr>
        <w:t>Building capacities of networks facilitating access to international support and regional human rights mechanisms, enhancing their participation to public dialogue as well as improving their visibility in local, national, regional and international fora and regional events;</w:t>
      </w:r>
    </w:p>
    <w:p w14:paraId="414C98A6" w14:textId="77777777" w:rsidR="0039699C" w:rsidRDefault="0039699C" w:rsidP="0039699C">
      <w:pPr>
        <w:numPr>
          <w:ilvl w:val="0"/>
          <w:numId w:val="43"/>
        </w:numPr>
        <w:spacing w:before="0" w:after="0"/>
        <w:rPr>
          <w:szCs w:val="22"/>
        </w:rPr>
      </w:pPr>
      <w:r w:rsidRPr="0039699C">
        <w:rPr>
          <w:szCs w:val="22"/>
        </w:rPr>
        <w:t xml:space="preserve">Strengthening capacities and role e.g. through improving the availability of resources and opportunities in order to decrease their vulnerability, such as trainings on risk analysis and the formulation of security plans; access to tools for increasing their capacity to face intimidation and harassment (including digital security tools); access to resources in matters of legal defence; improved technical, management, material and financial capacities; training on security and </w:t>
      </w:r>
      <w:r w:rsidRPr="0039699C">
        <w:rPr>
          <w:szCs w:val="22"/>
        </w:rPr>
        <w:lastRenderedPageBreak/>
        <w:t>protection, including the provision of relevant material and equipment, as well as any other type of preventive activities;</w:t>
      </w:r>
    </w:p>
    <w:p w14:paraId="2CBF275C" w14:textId="338B6F9E" w:rsidR="00832A49" w:rsidRPr="0039699C" w:rsidRDefault="009A3869" w:rsidP="00832A49">
      <w:pPr>
        <w:numPr>
          <w:ilvl w:val="0"/>
          <w:numId w:val="43"/>
        </w:numPr>
        <w:spacing w:before="0" w:after="0"/>
        <w:rPr>
          <w:szCs w:val="22"/>
        </w:rPr>
      </w:pPr>
      <w:r>
        <w:rPr>
          <w:szCs w:val="22"/>
        </w:rPr>
        <w:t>Activities aiming</w:t>
      </w:r>
      <w:r w:rsidR="007115DF">
        <w:rPr>
          <w:szCs w:val="22"/>
        </w:rPr>
        <w:t xml:space="preserve"> at </w:t>
      </w:r>
      <w:r w:rsidR="00832A49" w:rsidRPr="00832A49">
        <w:rPr>
          <w:szCs w:val="22"/>
        </w:rPr>
        <w:t>developing communication strateg</w:t>
      </w:r>
      <w:r w:rsidR="00CD146D">
        <w:rPr>
          <w:szCs w:val="22"/>
        </w:rPr>
        <w:t>ies</w:t>
      </w:r>
      <w:r w:rsidR="00832A49" w:rsidRPr="00832A49">
        <w:rPr>
          <w:szCs w:val="22"/>
        </w:rPr>
        <w:t xml:space="preserve">, awareness raising and using </w:t>
      </w:r>
      <w:r>
        <w:rPr>
          <w:szCs w:val="22"/>
        </w:rPr>
        <w:t xml:space="preserve">(social) </w:t>
      </w:r>
      <w:r w:rsidR="00832A49" w:rsidRPr="00832A49">
        <w:rPr>
          <w:szCs w:val="22"/>
        </w:rPr>
        <w:t xml:space="preserve">media with the aim to counter negative narrative against </w:t>
      </w:r>
      <w:r w:rsidR="007115DF">
        <w:rPr>
          <w:szCs w:val="22"/>
        </w:rPr>
        <w:t>Human Rights Defenders</w:t>
      </w:r>
      <w:r w:rsidR="00832A49" w:rsidRPr="00832A49">
        <w:rPr>
          <w:szCs w:val="22"/>
        </w:rPr>
        <w:t xml:space="preserve"> and to gain social recognition at different level, familial, community to public opinion  as well as to overcome criminalisation and defamation and promote land and environmental rights;</w:t>
      </w:r>
    </w:p>
    <w:p w14:paraId="3288E362" w14:textId="77777777" w:rsidR="0039699C" w:rsidRPr="0039699C" w:rsidRDefault="0039699C" w:rsidP="0039699C">
      <w:pPr>
        <w:numPr>
          <w:ilvl w:val="0"/>
          <w:numId w:val="43"/>
        </w:numPr>
        <w:spacing w:before="0" w:after="0"/>
        <w:rPr>
          <w:szCs w:val="22"/>
        </w:rPr>
      </w:pPr>
      <w:r w:rsidRPr="0039699C">
        <w:rPr>
          <w:szCs w:val="22"/>
        </w:rPr>
        <w:t xml:space="preserve">Training and awareness-building on international law standards as well as of international, regional and national mechanisms for the protection of HRDs; </w:t>
      </w:r>
    </w:p>
    <w:p w14:paraId="48880097" w14:textId="35561EFE" w:rsidR="0039699C" w:rsidRPr="009A3869" w:rsidRDefault="0039699C" w:rsidP="0039699C">
      <w:pPr>
        <w:numPr>
          <w:ilvl w:val="0"/>
          <w:numId w:val="43"/>
        </w:numPr>
        <w:spacing w:before="0" w:after="0"/>
        <w:rPr>
          <w:szCs w:val="22"/>
        </w:rPr>
      </w:pPr>
      <w:r w:rsidRPr="0039699C">
        <w:rPr>
          <w:szCs w:val="22"/>
        </w:rPr>
        <w:t xml:space="preserve">Training and capacity-building on negotiation, advocacy, lobbying, litigation, strategies of change, researching, </w:t>
      </w:r>
      <w:r w:rsidR="009A3869" w:rsidRPr="0039699C">
        <w:rPr>
          <w:szCs w:val="22"/>
        </w:rPr>
        <w:t>access to information</w:t>
      </w:r>
      <w:r w:rsidR="009A3869">
        <w:rPr>
          <w:szCs w:val="22"/>
        </w:rPr>
        <w:t>,</w:t>
      </w:r>
      <w:r w:rsidR="009A3869" w:rsidRPr="0039699C">
        <w:rPr>
          <w:szCs w:val="22"/>
        </w:rPr>
        <w:t xml:space="preserve"> </w:t>
      </w:r>
      <w:r w:rsidRPr="0039699C">
        <w:rPr>
          <w:szCs w:val="22"/>
        </w:rPr>
        <w:t>monitoring, documenting and reporting about widespread and systematic violations of</w:t>
      </w:r>
      <w:r w:rsidRPr="0039699C">
        <w:rPr>
          <w:rFonts w:ascii="Calibri" w:hAnsi="Calibri"/>
          <w:szCs w:val="22"/>
        </w:rPr>
        <w:t xml:space="preserve"> </w:t>
      </w:r>
      <w:r w:rsidRPr="009A3869">
        <w:rPr>
          <w:szCs w:val="22"/>
        </w:rPr>
        <w:t>land-related rights, indigenous peoples, in the context of inter alia 'land grabbing' and climate change, and impunity;</w:t>
      </w:r>
    </w:p>
    <w:p w14:paraId="248B8077" w14:textId="65F3EA6C" w:rsidR="0039699C" w:rsidRPr="009A3869" w:rsidRDefault="0039699C" w:rsidP="0039699C">
      <w:pPr>
        <w:numPr>
          <w:ilvl w:val="0"/>
          <w:numId w:val="43"/>
        </w:numPr>
        <w:spacing w:before="0" w:after="0"/>
        <w:rPr>
          <w:szCs w:val="22"/>
        </w:rPr>
      </w:pPr>
      <w:r w:rsidRPr="009A3869">
        <w:rPr>
          <w:szCs w:val="22"/>
        </w:rPr>
        <w:t xml:space="preserve">Supporting the participation of HRDs as accountability agents in legislative and policy-making processes at all levels; </w:t>
      </w:r>
      <w:r w:rsidR="00467B20">
        <w:rPr>
          <w:szCs w:val="22"/>
        </w:rPr>
        <w:t>including w</w:t>
      </w:r>
      <w:r w:rsidR="00583B5B">
        <w:rPr>
          <w:szCs w:val="22"/>
        </w:rPr>
        <w:t>it</w:t>
      </w:r>
      <w:r w:rsidR="00467B20">
        <w:rPr>
          <w:szCs w:val="22"/>
        </w:rPr>
        <w:t xml:space="preserve">ness protection </w:t>
      </w:r>
      <w:r w:rsidR="00583B5B">
        <w:rPr>
          <w:szCs w:val="22"/>
        </w:rPr>
        <w:t>i</w:t>
      </w:r>
      <w:r w:rsidR="00467B20">
        <w:rPr>
          <w:szCs w:val="22"/>
        </w:rPr>
        <w:t xml:space="preserve">n cases unveiling human rights abuses in </w:t>
      </w:r>
      <w:r w:rsidR="00583B5B">
        <w:rPr>
          <w:szCs w:val="22"/>
        </w:rPr>
        <w:t xml:space="preserve">context of </w:t>
      </w:r>
      <w:r w:rsidR="00467B20">
        <w:rPr>
          <w:szCs w:val="22"/>
        </w:rPr>
        <w:t>Land and environmental issues, when the state is unable to ensure protection.</w:t>
      </w:r>
    </w:p>
    <w:p w14:paraId="55302E42" w14:textId="67CDFA45" w:rsidR="00832A49" w:rsidRPr="009A3869" w:rsidRDefault="00832A49" w:rsidP="009A3869">
      <w:pPr>
        <w:numPr>
          <w:ilvl w:val="0"/>
          <w:numId w:val="43"/>
        </w:numPr>
        <w:spacing w:before="0" w:after="0"/>
        <w:rPr>
          <w:szCs w:val="22"/>
        </w:rPr>
      </w:pPr>
      <w:r w:rsidRPr="009A3869">
        <w:rPr>
          <w:szCs w:val="22"/>
        </w:rPr>
        <w:t>Supporting activities to track business conduct, rewarding good practice, identifying opportunities to work with other actors and leading responsible business associations and investors, to leverage and replicate these opportunities;</w:t>
      </w:r>
      <w:r w:rsidR="009A3869" w:rsidRPr="009A3869">
        <w:t xml:space="preserve"> </w:t>
      </w:r>
    </w:p>
    <w:p w14:paraId="16CC2661" w14:textId="4D397B8D" w:rsidR="0039699C" w:rsidRPr="009A3869" w:rsidRDefault="00832A49" w:rsidP="00832A49">
      <w:pPr>
        <w:numPr>
          <w:ilvl w:val="0"/>
          <w:numId w:val="43"/>
        </w:numPr>
        <w:spacing w:before="0" w:after="0"/>
        <w:rPr>
          <w:szCs w:val="22"/>
        </w:rPr>
      </w:pPr>
      <w:r w:rsidRPr="009A3869">
        <w:rPr>
          <w:szCs w:val="22"/>
        </w:rPr>
        <w:t xml:space="preserve">Supporting activities to overcome the lack of access to remedy, focusing on reducing impunity and improving avenues to access to remedy, both judicial and non-judicial mechanisms;    </w:t>
      </w:r>
    </w:p>
    <w:p w14:paraId="5317627A" w14:textId="72E8CC4D" w:rsidR="00F3343B" w:rsidRPr="009A3869" w:rsidRDefault="0039699C" w:rsidP="00832A49">
      <w:pPr>
        <w:numPr>
          <w:ilvl w:val="0"/>
          <w:numId w:val="43"/>
        </w:numPr>
        <w:spacing w:before="0" w:after="0"/>
        <w:rPr>
          <w:szCs w:val="22"/>
        </w:rPr>
      </w:pPr>
      <w:r w:rsidRPr="009A3869">
        <w:rPr>
          <w:szCs w:val="22"/>
        </w:rPr>
        <w:t>Monitoring and international investigation on human rights violations</w:t>
      </w:r>
      <w:r w:rsidR="00832A49" w:rsidRPr="009A3869">
        <w:rPr>
          <w:szCs w:val="22"/>
        </w:rPr>
        <w:t xml:space="preserve"> related to land and environment</w:t>
      </w:r>
      <w:r w:rsidRPr="009A3869">
        <w:rPr>
          <w:szCs w:val="22"/>
        </w:rPr>
        <w:t>, including fact finding missions</w:t>
      </w:r>
      <w:r w:rsidR="00F3343B" w:rsidRPr="009A3869">
        <w:rPr>
          <w:szCs w:val="22"/>
        </w:rPr>
        <w:t>;</w:t>
      </w:r>
      <w:r w:rsidR="00832A49" w:rsidRPr="009A3869">
        <w:rPr>
          <w:szCs w:val="22"/>
        </w:rPr>
        <w:t xml:space="preserve"> supporting research activities; supporting sustainable litigation processes in financing parts of those processes (building evidence/witnesses/etc</w:t>
      </w:r>
      <w:r w:rsidR="007E6BD1" w:rsidRPr="009A3869">
        <w:rPr>
          <w:szCs w:val="22"/>
        </w:rPr>
        <w:t>.</w:t>
      </w:r>
      <w:r w:rsidR="00832A49" w:rsidRPr="009A3869">
        <w:rPr>
          <w:szCs w:val="22"/>
        </w:rPr>
        <w:t>);</w:t>
      </w:r>
    </w:p>
    <w:p w14:paraId="6652E264" w14:textId="77777777" w:rsidR="009A3869" w:rsidRPr="009A3869" w:rsidRDefault="009A3869" w:rsidP="009A3869">
      <w:pPr>
        <w:numPr>
          <w:ilvl w:val="0"/>
          <w:numId w:val="43"/>
        </w:numPr>
        <w:spacing w:before="0" w:after="0"/>
        <w:rPr>
          <w:szCs w:val="22"/>
        </w:rPr>
      </w:pPr>
      <w:r w:rsidRPr="009A3869">
        <w:rPr>
          <w:szCs w:val="22"/>
        </w:rPr>
        <w:t>Supporting dialogues and mediation activities in most difficult situations, in particular regarding issues concerning remote areas through independent, innovative and inclusive set up;</w:t>
      </w:r>
    </w:p>
    <w:p w14:paraId="7231DF6E" w14:textId="14C41629" w:rsidR="0039699C" w:rsidRPr="009A3869" w:rsidRDefault="00F3343B" w:rsidP="00F3343B">
      <w:pPr>
        <w:numPr>
          <w:ilvl w:val="0"/>
          <w:numId w:val="43"/>
        </w:numPr>
        <w:spacing w:before="0" w:after="0"/>
        <w:rPr>
          <w:szCs w:val="22"/>
        </w:rPr>
      </w:pPr>
      <w:r w:rsidRPr="009A3869">
        <w:rPr>
          <w:szCs w:val="22"/>
        </w:rPr>
        <w:t>Build</w:t>
      </w:r>
      <w:r w:rsidR="007E6BD1" w:rsidRPr="009A3869">
        <w:rPr>
          <w:szCs w:val="22"/>
        </w:rPr>
        <w:t>ing</w:t>
      </w:r>
      <w:r w:rsidRPr="009A3869">
        <w:rPr>
          <w:szCs w:val="22"/>
        </w:rPr>
        <w:t xml:space="preserve"> capacities for the prevention, mitigation as well as mediation of conflicts related to land and environment, </w:t>
      </w:r>
      <w:r w:rsidR="007E6BD1" w:rsidRPr="009A3869">
        <w:rPr>
          <w:szCs w:val="22"/>
        </w:rPr>
        <w:t xml:space="preserve">notably </w:t>
      </w:r>
      <w:r w:rsidRPr="009A3869">
        <w:rPr>
          <w:szCs w:val="22"/>
        </w:rPr>
        <w:t>including through the establishment of consultation mechanisms with the view to ensure the free, prior, informed consent of indigenous peoples concerned on land tenure and environment related issues</w:t>
      </w:r>
      <w:r w:rsidR="009A3869" w:rsidRPr="009A3869">
        <w:rPr>
          <w:szCs w:val="22"/>
        </w:rPr>
        <w:t>.</w:t>
      </w:r>
    </w:p>
    <w:p w14:paraId="212F273E" w14:textId="051439CC" w:rsidR="001F73BE" w:rsidRPr="0039699C" w:rsidRDefault="001F73BE" w:rsidP="0039699C">
      <w:pPr>
        <w:spacing w:before="0" w:after="0"/>
        <w:rPr>
          <w:rFonts w:ascii="Calibri" w:hAnsi="Calibri"/>
          <w:color w:val="1F497D"/>
          <w:szCs w:val="22"/>
        </w:rPr>
      </w:pPr>
    </w:p>
    <w:p w14:paraId="05F982D8" w14:textId="291D7CB1" w:rsidR="00304CCF" w:rsidRDefault="00304C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501074" w:rsidRPr="002C462B" w14:paraId="2A34CD44" w14:textId="77777777" w:rsidTr="00501074">
        <w:tc>
          <w:tcPr>
            <w:tcW w:w="9570" w:type="dxa"/>
          </w:tcPr>
          <w:p w14:paraId="31DA9938" w14:textId="19379FC8" w:rsidR="00501074" w:rsidRPr="002C462B" w:rsidRDefault="00501074" w:rsidP="00501074">
            <w:pPr>
              <w:rPr>
                <w:rFonts w:ascii="Times New Roman Bold" w:hAnsi="Times New Roman Bold"/>
                <w:b/>
                <w:smallCaps/>
                <w:szCs w:val="22"/>
              </w:rPr>
            </w:pPr>
            <w:r w:rsidRPr="002C462B">
              <w:rPr>
                <w:rFonts w:ascii="Times New Roman Bold" w:hAnsi="Times New Roman Bold"/>
                <w:b/>
                <w:smallCaps/>
                <w:szCs w:val="22"/>
              </w:rPr>
              <w:t xml:space="preserve">LOT 2: </w:t>
            </w:r>
            <w:r w:rsidR="00AB4317" w:rsidRPr="002C462B">
              <w:rPr>
                <w:rFonts w:ascii="Times New Roman Bold" w:hAnsi="Times New Roman Bold"/>
                <w:b/>
                <w:smallCaps/>
                <w:szCs w:val="22"/>
              </w:rPr>
              <w:t>Fighting against extrajudicial</w:t>
            </w:r>
            <w:r w:rsidRPr="002C462B">
              <w:rPr>
                <w:rFonts w:ascii="Times New Roman Bold" w:hAnsi="Times New Roman Bold"/>
                <w:b/>
                <w:smallCaps/>
                <w:szCs w:val="22"/>
              </w:rPr>
              <w:t xml:space="preserve"> killings and enforced disappearances.</w:t>
            </w:r>
          </w:p>
        </w:tc>
      </w:tr>
    </w:tbl>
    <w:p w14:paraId="4F7B5C4A" w14:textId="48A197D9" w:rsidR="002C7042" w:rsidRPr="002C462B" w:rsidRDefault="004170E5" w:rsidP="004170E5">
      <w:pPr>
        <w:rPr>
          <w:szCs w:val="22"/>
        </w:rPr>
      </w:pPr>
      <w:r w:rsidRPr="002C462B">
        <w:rPr>
          <w:szCs w:val="22"/>
        </w:rPr>
        <w:t xml:space="preserve">In recent years, a </w:t>
      </w:r>
      <w:r w:rsidR="003B2879" w:rsidRPr="002C462B">
        <w:rPr>
          <w:szCs w:val="22"/>
        </w:rPr>
        <w:t xml:space="preserve">growing </w:t>
      </w:r>
      <w:r w:rsidRPr="002C462B">
        <w:rPr>
          <w:szCs w:val="22"/>
        </w:rPr>
        <w:t xml:space="preserve">number of </w:t>
      </w:r>
      <w:r w:rsidR="00BD5EB5">
        <w:rPr>
          <w:szCs w:val="22"/>
        </w:rPr>
        <w:t>S</w:t>
      </w:r>
      <w:r w:rsidR="00BD5EB5" w:rsidRPr="002C462B">
        <w:rPr>
          <w:szCs w:val="22"/>
        </w:rPr>
        <w:t xml:space="preserve">tates </w:t>
      </w:r>
      <w:r w:rsidRPr="002C462B">
        <w:rPr>
          <w:szCs w:val="22"/>
        </w:rPr>
        <w:t xml:space="preserve">have been involved in accusations and legal cases related </w:t>
      </w:r>
      <w:r w:rsidR="002C7042">
        <w:rPr>
          <w:szCs w:val="22"/>
        </w:rPr>
        <w:t xml:space="preserve">to or </w:t>
      </w:r>
      <w:r w:rsidRPr="002C462B">
        <w:rPr>
          <w:szCs w:val="22"/>
        </w:rPr>
        <w:t>for having reverted to extrajudicial, targeted killings, having been complacent or having shown tolerance for summary executions. The justification often brought forward has been that these extrajudicial killings and enforced disappearances come in as response to terrorism or security threats, asymmetric warfare in the context of internal unrest, widespread organised</w:t>
      </w:r>
      <w:r w:rsidR="004A1930" w:rsidRPr="002C462B">
        <w:rPr>
          <w:szCs w:val="22"/>
        </w:rPr>
        <w:t xml:space="preserve"> or sym</w:t>
      </w:r>
      <w:r w:rsidR="004A0F98" w:rsidRPr="002C462B">
        <w:rPr>
          <w:szCs w:val="22"/>
        </w:rPr>
        <w:t>p</w:t>
      </w:r>
      <w:r w:rsidR="004A1930" w:rsidRPr="002C462B">
        <w:rPr>
          <w:szCs w:val="22"/>
        </w:rPr>
        <w:t>tomatic</w:t>
      </w:r>
      <w:r w:rsidRPr="002C462B">
        <w:rPr>
          <w:szCs w:val="22"/>
        </w:rPr>
        <w:t xml:space="preserve"> violence, inter</w:t>
      </w:r>
      <w:r w:rsidR="0026533D" w:rsidRPr="002C462B">
        <w:rPr>
          <w:szCs w:val="22"/>
        </w:rPr>
        <w:t xml:space="preserve">nal/international conflicts, </w:t>
      </w:r>
      <w:r w:rsidRPr="002C462B">
        <w:rPr>
          <w:szCs w:val="22"/>
        </w:rPr>
        <w:t xml:space="preserve">the </w:t>
      </w:r>
      <w:r w:rsidR="00BD5EB5" w:rsidRPr="002C462B">
        <w:rPr>
          <w:szCs w:val="22"/>
        </w:rPr>
        <w:t>so</w:t>
      </w:r>
      <w:r w:rsidR="00BD5EB5">
        <w:rPr>
          <w:szCs w:val="22"/>
        </w:rPr>
        <w:t>-</w:t>
      </w:r>
      <w:r w:rsidRPr="002C462B">
        <w:rPr>
          <w:szCs w:val="22"/>
        </w:rPr>
        <w:t>called war on drugs</w:t>
      </w:r>
      <w:r w:rsidR="0026533D" w:rsidRPr="002C462B">
        <w:rPr>
          <w:szCs w:val="22"/>
        </w:rPr>
        <w:t xml:space="preserve"> or other kinds of trafficking</w:t>
      </w:r>
      <w:r w:rsidRPr="002C462B">
        <w:rPr>
          <w:szCs w:val="22"/>
        </w:rPr>
        <w:t>. In addition, many cases of enforced dis</w:t>
      </w:r>
      <w:r w:rsidR="000B3A3A">
        <w:rPr>
          <w:szCs w:val="22"/>
        </w:rPr>
        <w:t xml:space="preserve">appearances remain unsolved, </w:t>
      </w:r>
      <w:r w:rsidRPr="002C462B">
        <w:rPr>
          <w:szCs w:val="22"/>
        </w:rPr>
        <w:t>unpunished or even unreported.</w:t>
      </w:r>
    </w:p>
    <w:p w14:paraId="6C8E6269" w14:textId="23290CD7" w:rsidR="004170E5" w:rsidRPr="0061768C" w:rsidRDefault="004170E5" w:rsidP="0082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Cs w:val="22"/>
          <w:lang w:eastAsia="en-GB"/>
        </w:rPr>
      </w:pPr>
      <w:r w:rsidRPr="002C462B">
        <w:rPr>
          <w:szCs w:val="22"/>
          <w:lang w:eastAsia="en-GB"/>
        </w:rPr>
        <w:t xml:space="preserve">For the purpose of this call for proposals, </w:t>
      </w:r>
      <w:r w:rsidR="001948D1">
        <w:rPr>
          <w:szCs w:val="22"/>
          <w:lang w:eastAsia="en-GB"/>
        </w:rPr>
        <w:t xml:space="preserve">the definition of </w:t>
      </w:r>
      <w:r w:rsidRPr="002C462B">
        <w:rPr>
          <w:szCs w:val="22"/>
          <w:lang w:eastAsia="en-GB"/>
        </w:rPr>
        <w:t xml:space="preserve">extrajudicial </w:t>
      </w:r>
      <w:proofErr w:type="gramStart"/>
      <w:r w:rsidRPr="002C462B">
        <w:rPr>
          <w:szCs w:val="22"/>
          <w:lang w:eastAsia="en-GB"/>
        </w:rPr>
        <w:t>killings,</w:t>
      </w:r>
      <w:proofErr w:type="gramEnd"/>
      <w:r w:rsidRPr="002C462B">
        <w:rPr>
          <w:szCs w:val="22"/>
          <w:lang w:eastAsia="en-GB"/>
        </w:rPr>
        <w:t xml:space="preserve"> </w:t>
      </w:r>
      <w:r w:rsidR="001948D1">
        <w:rPr>
          <w:szCs w:val="22"/>
          <w:lang w:eastAsia="en-GB"/>
        </w:rPr>
        <w:t xml:space="preserve">is guided by what is stipulated in </w:t>
      </w:r>
      <w:r w:rsidR="004A492B" w:rsidRPr="002C462B">
        <w:rPr>
          <w:szCs w:val="22"/>
          <w:lang w:eastAsia="en-GB"/>
        </w:rPr>
        <w:t>t</w:t>
      </w:r>
      <w:r w:rsidRPr="002C462B">
        <w:rPr>
          <w:szCs w:val="22"/>
          <w:lang w:eastAsia="en-GB"/>
        </w:rPr>
        <w:t xml:space="preserve">he </w:t>
      </w:r>
      <w:r w:rsidRPr="000B3A3A">
        <w:rPr>
          <w:szCs w:val="22"/>
          <w:lang w:eastAsia="en-GB"/>
        </w:rPr>
        <w:t xml:space="preserve">UN </w:t>
      </w:r>
      <w:r w:rsidR="0061768C" w:rsidRPr="0061768C">
        <w:rPr>
          <w:szCs w:val="22"/>
        </w:rPr>
        <w:t xml:space="preserve">Model questionnaire of the Special Rapporteur on Extrajudicial, Summary or Arbitrary Executions and Article 6 of the International Covenant on Civil and Political Rights: </w:t>
      </w:r>
    </w:p>
    <w:p w14:paraId="23751656" w14:textId="713777E2" w:rsidR="002C462B" w:rsidRPr="000B3A3A" w:rsidRDefault="002C462B" w:rsidP="002C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20"/>
        <w:rPr>
          <w:i/>
          <w:szCs w:val="22"/>
          <w:lang w:eastAsia="en-GB"/>
        </w:rPr>
      </w:pPr>
    </w:p>
    <w:p w14:paraId="2D625380" w14:textId="5538E1C5" w:rsidR="004170E5" w:rsidRPr="000B3A3A" w:rsidRDefault="0061768C" w:rsidP="00522FE9">
      <w:pPr>
        <w:numPr>
          <w:ilvl w:val="0"/>
          <w:numId w:val="54"/>
        </w:numPr>
        <w:spacing w:before="0" w:after="0"/>
        <w:rPr>
          <w:i/>
          <w:szCs w:val="22"/>
          <w:lang w:eastAsia="en-GB"/>
        </w:rPr>
      </w:pPr>
      <w:r w:rsidRPr="000B3A3A">
        <w:rPr>
          <w:i/>
          <w:szCs w:val="22"/>
        </w:rPr>
        <w:t xml:space="preserve">Violations of the right to life in connection with the death penalty. </w:t>
      </w:r>
      <w:r w:rsidR="007C5D31" w:rsidRPr="000B3A3A">
        <w:rPr>
          <w:i/>
          <w:szCs w:val="22"/>
        </w:rPr>
        <w:t>W</w:t>
      </w:r>
      <w:r w:rsidRPr="000B3A3A">
        <w:rPr>
          <w:i/>
          <w:szCs w:val="22"/>
        </w:rPr>
        <w:t xml:space="preserve">hen capital punishment is imposed after an unfair trial, or in case of a breach of the right to appeal or the right to seek pardon or commutation of sentence. </w:t>
      </w:r>
      <w:r w:rsidR="00CA68AB" w:rsidRPr="000B3A3A">
        <w:rPr>
          <w:i/>
          <w:szCs w:val="22"/>
        </w:rPr>
        <w:t>I</w:t>
      </w:r>
      <w:r w:rsidRPr="000B3A3A">
        <w:rPr>
          <w:i/>
          <w:szCs w:val="22"/>
        </w:rPr>
        <w:t xml:space="preserve">f the convicted is a minor, a mentally </w:t>
      </w:r>
      <w:r w:rsidR="00CA68AB" w:rsidRPr="000B3A3A">
        <w:rPr>
          <w:i/>
          <w:szCs w:val="22"/>
        </w:rPr>
        <w:t>ill</w:t>
      </w:r>
      <w:r w:rsidRPr="000B3A3A">
        <w:rPr>
          <w:i/>
          <w:szCs w:val="22"/>
        </w:rPr>
        <w:t xml:space="preserve"> or insane person, a pregnant woman or a recent mother; </w:t>
      </w:r>
    </w:p>
    <w:p w14:paraId="5CC035C7" w14:textId="28904E79" w:rsidR="004170E5" w:rsidRPr="000B3A3A" w:rsidRDefault="004170E5" w:rsidP="00522FE9">
      <w:pPr>
        <w:numPr>
          <w:ilvl w:val="0"/>
          <w:numId w:val="54"/>
        </w:numPr>
        <w:spacing w:before="0" w:after="0"/>
        <w:rPr>
          <w:i/>
          <w:szCs w:val="22"/>
        </w:rPr>
      </w:pPr>
      <w:r w:rsidRPr="000B3A3A">
        <w:rPr>
          <w:i/>
          <w:szCs w:val="22"/>
        </w:rPr>
        <w:t>Death threats and fear of imminent extrajudicial executions b</w:t>
      </w:r>
      <w:r w:rsidR="00AE57A5" w:rsidRPr="000B3A3A">
        <w:rPr>
          <w:i/>
          <w:szCs w:val="22"/>
        </w:rPr>
        <w:t>y state officials, paramilitary</w:t>
      </w:r>
      <w:r w:rsidR="00971187" w:rsidRPr="000B3A3A">
        <w:rPr>
          <w:i/>
          <w:szCs w:val="22"/>
        </w:rPr>
        <w:t xml:space="preserve"> g</w:t>
      </w:r>
      <w:r w:rsidRPr="000B3A3A">
        <w:rPr>
          <w:i/>
          <w:szCs w:val="22"/>
        </w:rPr>
        <w:t>roups, private individuals or groups cooperating with or tolerated by the Government, as well as unidentified persons who may be linked</w:t>
      </w:r>
      <w:r w:rsidR="00CA68AB" w:rsidRPr="000B3A3A">
        <w:rPr>
          <w:i/>
          <w:szCs w:val="22"/>
        </w:rPr>
        <w:t xml:space="preserve"> </w:t>
      </w:r>
      <w:r w:rsidRPr="000B3A3A">
        <w:rPr>
          <w:i/>
          <w:szCs w:val="22"/>
        </w:rPr>
        <w:t xml:space="preserve">to the categories mentioned above; </w:t>
      </w:r>
    </w:p>
    <w:p w14:paraId="54DBF586" w14:textId="77777777" w:rsidR="004170E5" w:rsidRPr="000B3A3A" w:rsidRDefault="004170E5" w:rsidP="00522FE9">
      <w:pPr>
        <w:numPr>
          <w:ilvl w:val="0"/>
          <w:numId w:val="54"/>
        </w:numPr>
        <w:spacing w:before="0" w:after="0"/>
        <w:rPr>
          <w:i/>
          <w:szCs w:val="22"/>
        </w:rPr>
      </w:pPr>
      <w:r w:rsidRPr="000B3A3A">
        <w:rPr>
          <w:i/>
          <w:szCs w:val="22"/>
        </w:rPr>
        <w:t>Deaths in custody owing to torture, neglect or the use of force, or life-threatening conditions of detention;</w:t>
      </w:r>
    </w:p>
    <w:p w14:paraId="1566F48B" w14:textId="77777777" w:rsidR="004170E5" w:rsidRPr="000B3A3A" w:rsidRDefault="004170E5" w:rsidP="00522FE9">
      <w:pPr>
        <w:numPr>
          <w:ilvl w:val="0"/>
          <w:numId w:val="54"/>
        </w:numPr>
        <w:spacing w:before="0" w:after="0"/>
        <w:rPr>
          <w:i/>
          <w:szCs w:val="22"/>
        </w:rPr>
      </w:pPr>
      <w:r w:rsidRPr="000B3A3A">
        <w:rPr>
          <w:i/>
          <w:szCs w:val="22"/>
        </w:rPr>
        <w:lastRenderedPageBreak/>
        <w:t>Deaths owing to the use of force by law enforcement officials, or persons acting in direct or indirect compliance with the State, when the use of force is inconsistent with the criteria of absolute necessity and proportionality;</w:t>
      </w:r>
    </w:p>
    <w:p w14:paraId="29C02A53" w14:textId="7207D7CB" w:rsidR="004170E5" w:rsidRPr="000B3A3A" w:rsidRDefault="004170E5" w:rsidP="00522FE9">
      <w:pPr>
        <w:numPr>
          <w:ilvl w:val="0"/>
          <w:numId w:val="54"/>
        </w:numPr>
        <w:spacing w:before="0" w:after="0"/>
        <w:rPr>
          <w:i/>
          <w:szCs w:val="22"/>
        </w:rPr>
      </w:pPr>
      <w:r w:rsidRPr="000B3A3A">
        <w:rPr>
          <w:i/>
          <w:szCs w:val="22"/>
        </w:rPr>
        <w:t>Deaths owing to attacks by security forces of the State, by paramilitary groups, death squads or other private forces cooperating with or tolerated by the Government</w:t>
      </w:r>
      <w:r w:rsidR="00CA68AB" w:rsidRPr="000B3A3A">
        <w:rPr>
          <w:i/>
          <w:szCs w:val="22"/>
        </w:rPr>
        <w:t xml:space="preserve"> or acting individually</w:t>
      </w:r>
      <w:r w:rsidRPr="000B3A3A">
        <w:rPr>
          <w:i/>
          <w:szCs w:val="22"/>
        </w:rPr>
        <w:t>;</w:t>
      </w:r>
    </w:p>
    <w:p w14:paraId="4C2483F9" w14:textId="77777777" w:rsidR="004170E5" w:rsidRPr="000B3A3A" w:rsidRDefault="004170E5" w:rsidP="00522FE9">
      <w:pPr>
        <w:numPr>
          <w:ilvl w:val="0"/>
          <w:numId w:val="54"/>
        </w:numPr>
        <w:spacing w:before="0" w:after="0"/>
        <w:rPr>
          <w:i/>
          <w:szCs w:val="22"/>
        </w:rPr>
      </w:pPr>
      <w:r w:rsidRPr="000B3A3A">
        <w:rPr>
          <w:i/>
          <w:szCs w:val="22"/>
        </w:rPr>
        <w:t>Violations of the right to life during armed conflicts, especially of the civilian population, contrary to humanitarian law;</w:t>
      </w:r>
    </w:p>
    <w:p w14:paraId="2FE7CEC9" w14:textId="77777777" w:rsidR="004170E5" w:rsidRPr="000B3A3A" w:rsidRDefault="004170E5" w:rsidP="00522FE9">
      <w:pPr>
        <w:numPr>
          <w:ilvl w:val="0"/>
          <w:numId w:val="54"/>
        </w:numPr>
        <w:spacing w:before="0" w:after="0"/>
        <w:rPr>
          <w:i/>
          <w:szCs w:val="22"/>
        </w:rPr>
      </w:pPr>
      <w:r w:rsidRPr="000B3A3A">
        <w:rPr>
          <w:i/>
          <w:szCs w:val="22"/>
        </w:rPr>
        <w:t xml:space="preserve">Expulsion or </w:t>
      </w:r>
      <w:proofErr w:type="spellStart"/>
      <w:r w:rsidRPr="000B3A3A">
        <w:rPr>
          <w:i/>
          <w:szCs w:val="22"/>
        </w:rPr>
        <w:t>refoulement</w:t>
      </w:r>
      <w:proofErr w:type="spellEnd"/>
      <w:r w:rsidRPr="000B3A3A">
        <w:rPr>
          <w:i/>
          <w:szCs w:val="22"/>
        </w:rPr>
        <w:t xml:space="preserve"> of persons to a country where their lives are in danger;</w:t>
      </w:r>
    </w:p>
    <w:p w14:paraId="6AF4BB00" w14:textId="77777777" w:rsidR="004170E5" w:rsidRPr="000B3A3A" w:rsidRDefault="004170E5" w:rsidP="00522FE9">
      <w:pPr>
        <w:numPr>
          <w:ilvl w:val="0"/>
          <w:numId w:val="54"/>
        </w:numPr>
        <w:spacing w:before="0" w:after="0"/>
        <w:rPr>
          <w:i/>
          <w:szCs w:val="22"/>
        </w:rPr>
      </w:pPr>
      <w:r w:rsidRPr="000B3A3A">
        <w:rPr>
          <w:i/>
          <w:szCs w:val="22"/>
        </w:rPr>
        <w:t>Genocide;</w:t>
      </w:r>
    </w:p>
    <w:p w14:paraId="49B6E1DD" w14:textId="77777777" w:rsidR="004170E5" w:rsidRPr="000B3A3A" w:rsidRDefault="004170E5" w:rsidP="00522FE9">
      <w:pPr>
        <w:numPr>
          <w:ilvl w:val="0"/>
          <w:numId w:val="54"/>
        </w:numPr>
        <w:spacing w:before="0" w:after="0"/>
        <w:rPr>
          <w:i/>
          <w:szCs w:val="22"/>
        </w:rPr>
      </w:pPr>
      <w:r w:rsidRPr="000B3A3A">
        <w:rPr>
          <w:i/>
          <w:szCs w:val="22"/>
        </w:rPr>
        <w:t>Breach of the obligation to investigate alleged violations of the right to life and to bring those responsible to justice;</w:t>
      </w:r>
    </w:p>
    <w:p w14:paraId="5FCD561B" w14:textId="2E5830A7" w:rsidR="007C5D31" w:rsidRPr="000B3A3A" w:rsidRDefault="004170E5" w:rsidP="00522FE9">
      <w:pPr>
        <w:numPr>
          <w:ilvl w:val="0"/>
          <w:numId w:val="54"/>
        </w:numPr>
        <w:spacing w:before="0" w:after="0"/>
        <w:rPr>
          <w:i/>
          <w:szCs w:val="22"/>
        </w:rPr>
      </w:pPr>
      <w:r w:rsidRPr="000B3A3A">
        <w:rPr>
          <w:i/>
          <w:szCs w:val="22"/>
        </w:rPr>
        <w:t>Breach of the obligation to provide adequate compensation to victims of violations of the right to life.</w:t>
      </w:r>
    </w:p>
    <w:p w14:paraId="6631C91C" w14:textId="77777777" w:rsidR="00CF5E5D" w:rsidRDefault="00CF5E5D" w:rsidP="00522FE9">
      <w:pPr>
        <w:spacing w:before="0" w:after="0"/>
        <w:ind w:left="720"/>
        <w:rPr>
          <w:i/>
          <w:color w:val="444444"/>
          <w:szCs w:val="22"/>
        </w:rPr>
      </w:pPr>
    </w:p>
    <w:p w14:paraId="3B145FC3" w14:textId="1AD4F9BE" w:rsidR="00CF5E5D" w:rsidRPr="00522FE9" w:rsidRDefault="00CF5E5D" w:rsidP="000B3A3A">
      <w:pPr>
        <w:spacing w:before="0" w:after="0"/>
        <w:rPr>
          <w:color w:val="444444"/>
          <w:szCs w:val="22"/>
        </w:rPr>
      </w:pPr>
      <w:r>
        <w:rPr>
          <w:color w:val="444444"/>
          <w:szCs w:val="22"/>
        </w:rPr>
        <w:t>This call for proposals addresses all the above cases of extrajudicial killings from (b) to (j).</w:t>
      </w:r>
      <w:r w:rsidR="000B3A3A">
        <w:rPr>
          <w:color w:val="444444"/>
          <w:szCs w:val="22"/>
        </w:rPr>
        <w:t xml:space="preserve"> </w:t>
      </w:r>
      <w:r>
        <w:rPr>
          <w:color w:val="444444"/>
          <w:szCs w:val="22"/>
        </w:rPr>
        <w:t xml:space="preserve">It does </w:t>
      </w:r>
      <w:r w:rsidRPr="000B3A3A">
        <w:rPr>
          <w:color w:val="444444"/>
          <w:szCs w:val="22"/>
          <w:u w:val="single"/>
        </w:rPr>
        <w:t xml:space="preserve">not </w:t>
      </w:r>
      <w:r>
        <w:rPr>
          <w:color w:val="444444"/>
          <w:szCs w:val="22"/>
        </w:rPr>
        <w:t xml:space="preserve">cover (a) </w:t>
      </w:r>
      <w:r w:rsidR="000B3A3A">
        <w:rPr>
          <w:color w:val="444444"/>
          <w:szCs w:val="22"/>
        </w:rPr>
        <w:t>since</w:t>
      </w:r>
      <w:r>
        <w:rPr>
          <w:color w:val="444444"/>
          <w:szCs w:val="22"/>
        </w:rPr>
        <w:t xml:space="preserve"> the EIDHR focused on the fight against death penalty in its </w:t>
      </w:r>
      <w:r w:rsidR="000B3A3A">
        <w:rPr>
          <w:color w:val="444444"/>
          <w:szCs w:val="22"/>
        </w:rPr>
        <w:t>2015 global call for proposals</w:t>
      </w:r>
      <w:r>
        <w:rPr>
          <w:color w:val="444444"/>
          <w:szCs w:val="22"/>
        </w:rPr>
        <w:t>.</w:t>
      </w:r>
    </w:p>
    <w:p w14:paraId="13E9000A" w14:textId="77777777" w:rsidR="004170E5" w:rsidRPr="001761E7" w:rsidRDefault="004170E5" w:rsidP="0041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i/>
          <w:sz w:val="20"/>
          <w:lang w:eastAsia="en-GB"/>
        </w:rPr>
      </w:pPr>
    </w:p>
    <w:p w14:paraId="60C34171" w14:textId="6E6F3F69" w:rsidR="00813268" w:rsidRDefault="004170E5" w:rsidP="004170E5">
      <w:pPr>
        <w:spacing w:before="0" w:after="200"/>
        <w:rPr>
          <w:szCs w:val="22"/>
          <w:lang w:eastAsia="en-GB"/>
        </w:rPr>
      </w:pPr>
      <w:r w:rsidRPr="001761E7">
        <w:rPr>
          <w:szCs w:val="22"/>
          <w:lang w:eastAsia="en-GB"/>
        </w:rPr>
        <w:t>For the purpose of this call</w:t>
      </w:r>
      <w:r w:rsidR="00F96D48">
        <w:rPr>
          <w:szCs w:val="22"/>
          <w:lang w:eastAsia="en-GB"/>
        </w:rPr>
        <w:t xml:space="preserve"> for proposals</w:t>
      </w:r>
      <w:r w:rsidRPr="001761E7">
        <w:rPr>
          <w:szCs w:val="22"/>
          <w:lang w:eastAsia="en-GB"/>
        </w:rPr>
        <w:t xml:space="preserve">, enforced disappearances </w:t>
      </w:r>
      <w:r w:rsidR="00BD5EB5">
        <w:rPr>
          <w:szCs w:val="22"/>
          <w:lang w:eastAsia="en-GB"/>
        </w:rPr>
        <w:t>shall be defined according to</w:t>
      </w:r>
      <w:r w:rsidRPr="001761E7">
        <w:rPr>
          <w:szCs w:val="22"/>
          <w:lang w:eastAsia="en-GB"/>
        </w:rPr>
        <w:t xml:space="preserve"> Article 2 of the </w:t>
      </w:r>
      <w:r w:rsidRPr="000B3A3A">
        <w:rPr>
          <w:szCs w:val="22"/>
          <w:lang w:eastAsia="en-GB"/>
        </w:rPr>
        <w:t xml:space="preserve">UN Convention </w:t>
      </w:r>
      <w:r w:rsidRPr="000B3A3A">
        <w:rPr>
          <w:snapToGrid w:val="0"/>
          <w:szCs w:val="22"/>
        </w:rPr>
        <w:t>for the Protection of All Persons from Enforced Disappearance</w:t>
      </w:r>
      <w:r w:rsidR="00BD5EB5" w:rsidRPr="00CF5E5D">
        <w:rPr>
          <w:snapToGrid w:val="0"/>
          <w:szCs w:val="22"/>
        </w:rPr>
        <w:t>, which</w:t>
      </w:r>
      <w:r w:rsidRPr="00CF5E5D">
        <w:rPr>
          <w:snapToGrid w:val="0"/>
          <w:szCs w:val="22"/>
        </w:rPr>
        <w:t xml:space="preserve"> reads:</w:t>
      </w:r>
      <w:r w:rsidRPr="001761E7">
        <w:rPr>
          <w:snapToGrid w:val="0"/>
          <w:szCs w:val="22"/>
        </w:rPr>
        <w:t xml:space="preserve"> </w:t>
      </w:r>
      <w:r w:rsidRPr="000B3A3A">
        <w:rPr>
          <w:i/>
          <w:snapToGrid w:val="0"/>
          <w:szCs w:val="22"/>
        </w:rPr>
        <w:t>"</w:t>
      </w:r>
      <w:r w:rsidR="000B3A3A" w:rsidRPr="000B3A3A">
        <w:rPr>
          <w:i/>
          <w:snapToGrid w:val="0"/>
          <w:szCs w:val="22"/>
        </w:rPr>
        <w:t>…</w:t>
      </w:r>
      <w:r w:rsidR="000B3A3A">
        <w:rPr>
          <w:i/>
          <w:snapToGrid w:val="0"/>
          <w:szCs w:val="22"/>
        </w:rPr>
        <w:t xml:space="preserve"> </w:t>
      </w:r>
      <w:r w:rsidRPr="000B3A3A">
        <w:rPr>
          <w:i/>
          <w:snapToGrid w:val="0"/>
          <w:szCs w:val="22"/>
        </w:rPr>
        <w:t>enforced disappearance" is considered to be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w:t>
      </w:r>
      <w:r w:rsidRPr="000B3A3A">
        <w:rPr>
          <w:snapToGrid w:val="0"/>
          <w:szCs w:val="22"/>
        </w:rPr>
        <w:t>”</w:t>
      </w:r>
      <w:r w:rsidRPr="000B3A3A">
        <w:rPr>
          <w:szCs w:val="22"/>
          <w:lang w:eastAsia="en-GB"/>
        </w:rPr>
        <w:t xml:space="preserve">  </w:t>
      </w:r>
      <w:r w:rsidR="00BD5EB5">
        <w:rPr>
          <w:szCs w:val="22"/>
          <w:lang w:eastAsia="en-GB"/>
        </w:rPr>
        <w:t>A</w:t>
      </w:r>
      <w:r w:rsidRPr="001761E7">
        <w:rPr>
          <w:szCs w:val="22"/>
          <w:lang w:eastAsia="en-GB"/>
        </w:rPr>
        <w:t xml:space="preserve">ll other applicable international and regional </w:t>
      </w:r>
      <w:r w:rsidR="00BD5EB5">
        <w:rPr>
          <w:szCs w:val="22"/>
          <w:lang w:eastAsia="en-GB"/>
        </w:rPr>
        <w:t xml:space="preserve">human rights </w:t>
      </w:r>
      <w:r w:rsidRPr="001761E7">
        <w:rPr>
          <w:szCs w:val="22"/>
          <w:lang w:eastAsia="en-GB"/>
        </w:rPr>
        <w:t xml:space="preserve">instruments </w:t>
      </w:r>
      <w:r w:rsidR="00BD5EB5">
        <w:rPr>
          <w:szCs w:val="22"/>
          <w:lang w:eastAsia="en-GB"/>
        </w:rPr>
        <w:t>and existing jurisprudence can also</w:t>
      </w:r>
      <w:r w:rsidR="00BD5EB5" w:rsidRPr="001761E7">
        <w:rPr>
          <w:szCs w:val="22"/>
          <w:lang w:eastAsia="en-GB"/>
        </w:rPr>
        <w:t xml:space="preserve"> </w:t>
      </w:r>
      <w:r w:rsidRPr="001761E7">
        <w:rPr>
          <w:szCs w:val="22"/>
          <w:lang w:eastAsia="en-GB"/>
        </w:rPr>
        <w:t>be referred to as the wider normative framework of all actions supported under this call.</w:t>
      </w:r>
    </w:p>
    <w:p w14:paraId="3DB2843C" w14:textId="5BA6532E" w:rsidR="00813268" w:rsidRDefault="00813268" w:rsidP="004170E5">
      <w:pPr>
        <w:spacing w:before="0" w:after="200"/>
        <w:rPr>
          <w:szCs w:val="22"/>
          <w:lang w:eastAsia="en-GB"/>
        </w:rPr>
      </w:pPr>
      <w:r>
        <w:rPr>
          <w:szCs w:val="22"/>
          <w:lang w:eastAsia="en-GB"/>
        </w:rPr>
        <w:t xml:space="preserve">For both </w:t>
      </w:r>
      <w:r w:rsidR="00CF5E5D">
        <w:rPr>
          <w:szCs w:val="22"/>
          <w:lang w:eastAsia="en-GB"/>
        </w:rPr>
        <w:t>issues</w:t>
      </w:r>
      <w:r w:rsidR="000B3A3A">
        <w:rPr>
          <w:szCs w:val="22"/>
          <w:lang w:eastAsia="en-GB"/>
        </w:rPr>
        <w:t xml:space="preserve"> (</w:t>
      </w:r>
      <w:r w:rsidR="00BD5EB5" w:rsidRPr="002C462B">
        <w:rPr>
          <w:szCs w:val="22"/>
          <w:lang w:eastAsia="en-GB"/>
        </w:rPr>
        <w:t>extrajudicial killings</w:t>
      </w:r>
      <w:r w:rsidR="00BD5EB5">
        <w:rPr>
          <w:szCs w:val="22"/>
          <w:lang w:eastAsia="en-GB"/>
        </w:rPr>
        <w:t xml:space="preserve"> and </w:t>
      </w:r>
      <w:r w:rsidR="00BD5EB5" w:rsidRPr="001761E7">
        <w:rPr>
          <w:szCs w:val="22"/>
          <w:lang w:eastAsia="en-GB"/>
        </w:rPr>
        <w:t>enforced disappearances</w:t>
      </w:r>
      <w:r w:rsidR="000B3A3A">
        <w:rPr>
          <w:szCs w:val="22"/>
          <w:lang w:eastAsia="en-GB"/>
        </w:rPr>
        <w:t>)</w:t>
      </w:r>
      <w:r w:rsidR="00F96D48">
        <w:rPr>
          <w:szCs w:val="22"/>
          <w:lang w:eastAsia="en-GB"/>
        </w:rPr>
        <w:t xml:space="preserve">, </w:t>
      </w:r>
      <w:r>
        <w:rPr>
          <w:szCs w:val="22"/>
          <w:lang w:eastAsia="en-GB"/>
        </w:rPr>
        <w:t>perpetrators o</w:t>
      </w:r>
      <w:r w:rsidR="00A66F4C">
        <w:rPr>
          <w:szCs w:val="22"/>
          <w:lang w:eastAsia="en-GB"/>
        </w:rPr>
        <w:t xml:space="preserve">f these acts </w:t>
      </w:r>
      <w:r w:rsidR="00F96D48">
        <w:rPr>
          <w:szCs w:val="22"/>
          <w:lang w:eastAsia="en-GB"/>
        </w:rPr>
        <w:t>can</w:t>
      </w:r>
      <w:r w:rsidR="00CF5E5D">
        <w:rPr>
          <w:szCs w:val="22"/>
          <w:lang w:eastAsia="en-GB"/>
        </w:rPr>
        <w:t xml:space="preserve"> </w:t>
      </w:r>
      <w:r w:rsidR="00F96D48">
        <w:rPr>
          <w:szCs w:val="22"/>
          <w:lang w:eastAsia="en-GB"/>
        </w:rPr>
        <w:t xml:space="preserve">be </w:t>
      </w:r>
      <w:r w:rsidR="000B3A3A">
        <w:rPr>
          <w:szCs w:val="22"/>
          <w:lang w:eastAsia="en-GB"/>
        </w:rPr>
        <w:t xml:space="preserve">State or </w:t>
      </w:r>
      <w:r w:rsidR="00A66F4C">
        <w:rPr>
          <w:szCs w:val="22"/>
          <w:lang w:eastAsia="en-GB"/>
        </w:rPr>
        <w:t>non-</w:t>
      </w:r>
      <w:r w:rsidR="000B3A3A">
        <w:rPr>
          <w:szCs w:val="22"/>
          <w:lang w:eastAsia="en-GB"/>
        </w:rPr>
        <w:t>S</w:t>
      </w:r>
      <w:r>
        <w:rPr>
          <w:szCs w:val="22"/>
          <w:lang w:eastAsia="en-GB"/>
        </w:rPr>
        <w:t>tate actors</w:t>
      </w:r>
      <w:r w:rsidR="000B3A3A">
        <w:rPr>
          <w:szCs w:val="22"/>
          <w:lang w:eastAsia="en-GB"/>
        </w:rPr>
        <w:t>,</w:t>
      </w:r>
      <w:r>
        <w:rPr>
          <w:szCs w:val="22"/>
          <w:lang w:eastAsia="en-GB"/>
        </w:rPr>
        <w:t xml:space="preserve"> such as private security bodies, guerrillas, etc. </w:t>
      </w:r>
    </w:p>
    <w:p w14:paraId="30E214AC" w14:textId="77777777" w:rsidR="00501074" w:rsidRPr="001761E7" w:rsidRDefault="00501074" w:rsidP="00501074">
      <w:r w:rsidRPr="001761E7">
        <w:t xml:space="preserve">The </w:t>
      </w:r>
      <w:r w:rsidRPr="001761E7">
        <w:rPr>
          <w:b/>
        </w:rPr>
        <w:t>general objective</w:t>
      </w:r>
      <w:r w:rsidRPr="001761E7">
        <w:t xml:space="preserve"> </w:t>
      </w:r>
      <w:r w:rsidRPr="000B3A3A">
        <w:rPr>
          <w:b/>
        </w:rPr>
        <w:t>of Lot 2</w:t>
      </w:r>
      <w:r w:rsidRPr="001761E7">
        <w:t xml:space="preserve"> is to</w:t>
      </w:r>
      <w:r w:rsidR="004170E5" w:rsidRPr="001761E7">
        <w:t xml:space="preserve"> </w:t>
      </w:r>
      <w:r w:rsidR="004170E5" w:rsidRPr="00FE3828">
        <w:t>fight against extrajudicial killings and enforced disappearances</w:t>
      </w:r>
      <w:r w:rsidR="004170E5" w:rsidRPr="001761E7">
        <w:rPr>
          <w:sz w:val="24"/>
          <w:szCs w:val="24"/>
        </w:rPr>
        <w:t>.</w:t>
      </w:r>
    </w:p>
    <w:p w14:paraId="6C3FEA2A" w14:textId="0B501587" w:rsidR="004170E5" w:rsidRPr="001761E7" w:rsidRDefault="00501074" w:rsidP="005E7B2D">
      <w:pPr>
        <w:spacing w:after="0"/>
        <w:rPr>
          <w:szCs w:val="22"/>
        </w:rPr>
      </w:pPr>
      <w:r w:rsidRPr="001761E7">
        <w:t xml:space="preserve">The </w:t>
      </w:r>
      <w:r w:rsidRPr="001761E7">
        <w:rPr>
          <w:b/>
        </w:rPr>
        <w:t>specific objectives</w:t>
      </w:r>
      <w:r w:rsidRPr="001761E7">
        <w:t xml:space="preserve"> </w:t>
      </w:r>
      <w:r w:rsidRPr="000B3A3A">
        <w:rPr>
          <w:b/>
        </w:rPr>
        <w:t>of Lot 2</w:t>
      </w:r>
      <w:r w:rsidRPr="001761E7">
        <w:t xml:space="preserve"> are</w:t>
      </w:r>
      <w:r w:rsidR="00BD5EB5">
        <w:t>:</w:t>
      </w:r>
    </w:p>
    <w:p w14:paraId="6B074BBC" w14:textId="5AD3FAA5" w:rsidR="004170E5" w:rsidRPr="00BD5EB5" w:rsidRDefault="00BD5EB5" w:rsidP="00FE3828">
      <w:pPr>
        <w:numPr>
          <w:ilvl w:val="0"/>
          <w:numId w:val="51"/>
        </w:numPr>
        <w:spacing w:after="0"/>
        <w:rPr>
          <w:szCs w:val="22"/>
        </w:rPr>
      </w:pPr>
      <w:r w:rsidRPr="000156BF">
        <w:rPr>
          <w:szCs w:val="22"/>
        </w:rPr>
        <w:t xml:space="preserve">to </w:t>
      </w:r>
      <w:r w:rsidR="004170E5" w:rsidRPr="000156BF">
        <w:rPr>
          <w:szCs w:val="22"/>
        </w:rPr>
        <w:t>support projects dealing with</w:t>
      </w:r>
      <w:r w:rsidR="004170E5" w:rsidRPr="00FE3828">
        <w:rPr>
          <w:szCs w:val="22"/>
        </w:rPr>
        <w:t xml:space="preserve"> </w:t>
      </w:r>
      <w:r w:rsidRPr="000B3A3A">
        <w:rPr>
          <w:b/>
          <w:i/>
          <w:color w:val="000000"/>
          <w:szCs w:val="22"/>
        </w:rPr>
        <w:t xml:space="preserve">prevention </w:t>
      </w:r>
      <w:r w:rsidR="004170E5" w:rsidRPr="00BD5EB5">
        <w:rPr>
          <w:szCs w:val="22"/>
        </w:rPr>
        <w:t>of enforced disappearances and extrajudicial killings</w:t>
      </w:r>
      <w:r w:rsidRPr="00BD5EB5">
        <w:rPr>
          <w:szCs w:val="22"/>
        </w:rPr>
        <w:t xml:space="preserve">; </w:t>
      </w:r>
      <w:r w:rsidRPr="000B3A3A">
        <w:rPr>
          <w:b/>
          <w:szCs w:val="22"/>
        </w:rPr>
        <w:t>and/or</w:t>
      </w:r>
    </w:p>
    <w:p w14:paraId="11F15C84" w14:textId="78DE5644" w:rsidR="004170E5" w:rsidRPr="00FE3828" w:rsidRDefault="00BD5EB5" w:rsidP="000B3A3A">
      <w:pPr>
        <w:numPr>
          <w:ilvl w:val="0"/>
          <w:numId w:val="51"/>
        </w:numPr>
        <w:spacing w:before="0" w:after="0" w:line="276" w:lineRule="auto"/>
        <w:rPr>
          <w:szCs w:val="22"/>
        </w:rPr>
      </w:pPr>
      <w:proofErr w:type="gramStart"/>
      <w:r w:rsidRPr="00BD5EB5">
        <w:rPr>
          <w:szCs w:val="22"/>
        </w:rPr>
        <w:t>to</w:t>
      </w:r>
      <w:proofErr w:type="gramEnd"/>
      <w:r w:rsidRPr="00BD5EB5">
        <w:rPr>
          <w:szCs w:val="22"/>
        </w:rPr>
        <w:t xml:space="preserve"> </w:t>
      </w:r>
      <w:r w:rsidR="004170E5" w:rsidRPr="00BD5EB5">
        <w:rPr>
          <w:szCs w:val="22"/>
        </w:rPr>
        <w:t xml:space="preserve">support projects promoting </w:t>
      </w:r>
      <w:r w:rsidRPr="000B3A3A">
        <w:rPr>
          <w:b/>
          <w:i/>
          <w:color w:val="000000"/>
          <w:szCs w:val="22"/>
        </w:rPr>
        <w:t>accountability</w:t>
      </w:r>
      <w:r w:rsidRPr="00FE3828">
        <w:rPr>
          <w:szCs w:val="22"/>
        </w:rPr>
        <w:t xml:space="preserve"> </w:t>
      </w:r>
      <w:r w:rsidR="00E34BB2">
        <w:rPr>
          <w:szCs w:val="22"/>
        </w:rPr>
        <w:t>for</w:t>
      </w:r>
      <w:r w:rsidR="00E34BB2" w:rsidRPr="00BD5EB5">
        <w:rPr>
          <w:szCs w:val="22"/>
        </w:rPr>
        <w:t xml:space="preserve"> </w:t>
      </w:r>
      <w:r w:rsidR="000156BF">
        <w:rPr>
          <w:szCs w:val="22"/>
        </w:rPr>
        <w:t xml:space="preserve">perpetrators </w:t>
      </w:r>
      <w:r w:rsidR="00E34BB2">
        <w:rPr>
          <w:szCs w:val="22"/>
        </w:rPr>
        <w:t xml:space="preserve">and </w:t>
      </w:r>
      <w:r w:rsidR="008520B6">
        <w:rPr>
          <w:szCs w:val="22"/>
        </w:rPr>
        <w:t xml:space="preserve">the search for </w:t>
      </w:r>
      <w:r w:rsidR="00E34BB2">
        <w:rPr>
          <w:szCs w:val="22"/>
        </w:rPr>
        <w:t xml:space="preserve">remedy for victims and their families </w:t>
      </w:r>
      <w:r w:rsidR="004170E5" w:rsidRPr="00BD5EB5">
        <w:rPr>
          <w:szCs w:val="22"/>
        </w:rPr>
        <w:t>in cases of enforced disappearances and</w:t>
      </w:r>
      <w:r w:rsidR="000156BF">
        <w:rPr>
          <w:szCs w:val="22"/>
        </w:rPr>
        <w:t>/or</w:t>
      </w:r>
      <w:r w:rsidR="004170E5" w:rsidRPr="00BD5EB5">
        <w:rPr>
          <w:szCs w:val="22"/>
        </w:rPr>
        <w:t xml:space="preserve"> extrajudicial killings</w:t>
      </w:r>
      <w:r w:rsidR="007B2D65" w:rsidRPr="000156BF">
        <w:rPr>
          <w:szCs w:val="22"/>
        </w:rPr>
        <w:t>.</w:t>
      </w:r>
    </w:p>
    <w:p w14:paraId="5408D02D" w14:textId="77777777" w:rsidR="002C462B" w:rsidRDefault="002C462B" w:rsidP="00DD31EB">
      <w:pPr>
        <w:spacing w:before="0" w:after="0" w:line="276" w:lineRule="auto"/>
        <w:ind w:left="360"/>
        <w:jc w:val="left"/>
        <w:rPr>
          <w:szCs w:val="22"/>
        </w:rPr>
      </w:pPr>
    </w:p>
    <w:p w14:paraId="6ED0C01A" w14:textId="7D51BCBE" w:rsidR="000156BF" w:rsidRDefault="000156BF" w:rsidP="000156BF">
      <w:pPr>
        <w:autoSpaceDE w:val="0"/>
        <w:autoSpaceDN w:val="0"/>
        <w:adjustRightInd w:val="0"/>
        <w:spacing w:before="0" w:after="0"/>
        <w:rPr>
          <w:szCs w:val="22"/>
          <w:lang w:eastAsia="en-GB"/>
        </w:rPr>
      </w:pPr>
      <w:r w:rsidRPr="001761E7">
        <w:rPr>
          <w:szCs w:val="22"/>
          <w:lang w:eastAsia="en-GB"/>
        </w:rPr>
        <w:t xml:space="preserve">For the purpose of this call, </w:t>
      </w:r>
      <w:r w:rsidRPr="009F1F68">
        <w:rPr>
          <w:b/>
          <w:szCs w:val="22"/>
          <w:lang w:eastAsia="en-GB"/>
        </w:rPr>
        <w:t xml:space="preserve">actions should focus on </w:t>
      </w:r>
      <w:r w:rsidRPr="009F1F68">
        <w:rPr>
          <w:b/>
          <w:szCs w:val="22"/>
          <w:u w:val="single"/>
          <w:lang w:eastAsia="en-GB"/>
        </w:rPr>
        <w:t>at least one</w:t>
      </w:r>
      <w:r w:rsidRPr="009F1F68">
        <w:rPr>
          <w:b/>
          <w:szCs w:val="22"/>
          <w:lang w:eastAsia="en-GB"/>
        </w:rPr>
        <w:t xml:space="preserve"> of the specific objectives</w:t>
      </w:r>
      <w:r>
        <w:rPr>
          <w:szCs w:val="22"/>
          <w:lang w:eastAsia="en-GB"/>
        </w:rPr>
        <w:t xml:space="preserve"> mentioned above, although actions are encouraged to find the interrelation or interdependence between </w:t>
      </w:r>
      <w:r w:rsidR="00FA6458">
        <w:rPr>
          <w:szCs w:val="22"/>
          <w:lang w:eastAsia="en-GB"/>
        </w:rPr>
        <w:t xml:space="preserve">prevention and accountability. </w:t>
      </w:r>
    </w:p>
    <w:p w14:paraId="71272B42" w14:textId="523B4F16" w:rsidR="002C462B" w:rsidRPr="00FA6458" w:rsidRDefault="00060974" w:rsidP="00FA6458">
      <w:pPr>
        <w:rPr>
          <w:szCs w:val="22"/>
          <w:lang w:eastAsia="en-GB"/>
        </w:rPr>
      </w:pPr>
      <w:r>
        <w:rPr>
          <w:szCs w:val="22"/>
          <w:lang w:eastAsia="en-GB"/>
        </w:rPr>
        <w:t xml:space="preserve">Actions </w:t>
      </w:r>
      <w:r w:rsidR="000156BF">
        <w:rPr>
          <w:szCs w:val="22"/>
          <w:lang w:eastAsia="en-GB"/>
        </w:rPr>
        <w:t>can also make</w:t>
      </w:r>
      <w:r>
        <w:rPr>
          <w:szCs w:val="22"/>
          <w:lang w:eastAsia="en-GB"/>
        </w:rPr>
        <w:t xml:space="preserve"> links between </w:t>
      </w:r>
      <w:r w:rsidR="000156BF" w:rsidRPr="000156BF">
        <w:rPr>
          <w:szCs w:val="22"/>
          <w:lang w:eastAsia="en-GB"/>
        </w:rPr>
        <w:t>extrajudicial killings and enforced disappearances</w:t>
      </w:r>
      <w:r w:rsidR="000156BF">
        <w:rPr>
          <w:szCs w:val="22"/>
          <w:lang w:eastAsia="en-GB"/>
        </w:rPr>
        <w:t xml:space="preserve">, and </w:t>
      </w:r>
      <w:r>
        <w:rPr>
          <w:szCs w:val="22"/>
          <w:lang w:eastAsia="en-GB"/>
        </w:rPr>
        <w:t>torture, cruel, inhuman or degrading treatment and the death penalty, as stipulated in the</w:t>
      </w:r>
      <w:r w:rsidR="002C7042">
        <w:rPr>
          <w:szCs w:val="22"/>
          <w:lang w:eastAsia="en-GB"/>
        </w:rPr>
        <w:t xml:space="preserve"> </w:t>
      </w:r>
      <w:r>
        <w:rPr>
          <w:szCs w:val="22"/>
          <w:lang w:eastAsia="en-GB"/>
        </w:rPr>
        <w:t>"</w:t>
      </w:r>
      <w:r w:rsidR="002C7042">
        <w:rPr>
          <w:szCs w:val="22"/>
          <w:lang w:eastAsia="en-GB"/>
        </w:rPr>
        <w:t xml:space="preserve">Guidelines to EU policy towards non-EU countries and other cruel, inhuman or degrading </w:t>
      </w:r>
      <w:r>
        <w:rPr>
          <w:szCs w:val="22"/>
          <w:lang w:eastAsia="en-GB"/>
        </w:rPr>
        <w:t xml:space="preserve">treatment or </w:t>
      </w:r>
      <w:r w:rsidR="002C7042">
        <w:rPr>
          <w:szCs w:val="22"/>
          <w:lang w:eastAsia="en-GB"/>
        </w:rPr>
        <w:t>punishment</w:t>
      </w:r>
      <w:r>
        <w:rPr>
          <w:szCs w:val="22"/>
          <w:lang w:eastAsia="en-GB"/>
        </w:rPr>
        <w:t xml:space="preserve">", and the "EU </w:t>
      </w:r>
      <w:r w:rsidR="00CA68AB">
        <w:rPr>
          <w:szCs w:val="22"/>
          <w:lang w:eastAsia="en-GB"/>
        </w:rPr>
        <w:t>Guidelines on Death Penalty".</w:t>
      </w:r>
      <w:r>
        <w:rPr>
          <w:szCs w:val="22"/>
          <w:lang w:eastAsia="en-GB"/>
        </w:rPr>
        <w:t xml:space="preserve"> </w:t>
      </w:r>
    </w:p>
    <w:p w14:paraId="7376F91C" w14:textId="4C9D9D69" w:rsidR="004170E5" w:rsidRPr="001761E7" w:rsidRDefault="004170E5" w:rsidP="004170E5">
      <w:pPr>
        <w:rPr>
          <w:szCs w:val="22"/>
        </w:rPr>
      </w:pPr>
      <w:r w:rsidRPr="001761E7">
        <w:rPr>
          <w:szCs w:val="22"/>
          <w:lang w:eastAsia="en-GB"/>
        </w:rPr>
        <w:t xml:space="preserve">Actions may </w:t>
      </w:r>
      <w:r w:rsidR="000156BF">
        <w:rPr>
          <w:szCs w:val="22"/>
          <w:lang w:eastAsia="en-GB"/>
        </w:rPr>
        <w:t xml:space="preserve">address situations of </w:t>
      </w:r>
      <w:r w:rsidR="000156BF" w:rsidRPr="002C462B">
        <w:rPr>
          <w:szCs w:val="22"/>
          <w:lang w:eastAsia="en-GB"/>
        </w:rPr>
        <w:t>extrajudicial killings</w:t>
      </w:r>
      <w:r w:rsidR="000156BF">
        <w:rPr>
          <w:szCs w:val="22"/>
          <w:lang w:eastAsia="en-GB"/>
        </w:rPr>
        <w:t xml:space="preserve"> and </w:t>
      </w:r>
      <w:r w:rsidR="000156BF" w:rsidRPr="001761E7">
        <w:rPr>
          <w:szCs w:val="22"/>
          <w:lang w:eastAsia="en-GB"/>
        </w:rPr>
        <w:t xml:space="preserve">enforced disappearances </w:t>
      </w:r>
      <w:r w:rsidRPr="001761E7">
        <w:rPr>
          <w:szCs w:val="22"/>
          <w:lang w:eastAsia="en-GB"/>
        </w:rPr>
        <w:t xml:space="preserve">linked to </w:t>
      </w:r>
      <w:r w:rsidR="000156BF" w:rsidRPr="001761E7">
        <w:rPr>
          <w:szCs w:val="22"/>
          <w:lang w:eastAsia="en-GB"/>
        </w:rPr>
        <w:t>external or internal conflict</w:t>
      </w:r>
      <w:r w:rsidR="000156BF">
        <w:rPr>
          <w:szCs w:val="22"/>
          <w:lang w:eastAsia="en-GB"/>
        </w:rPr>
        <w:t>s,</w:t>
      </w:r>
      <w:r w:rsidR="00DD07F0">
        <w:rPr>
          <w:szCs w:val="22"/>
          <w:lang w:eastAsia="en-GB"/>
        </w:rPr>
        <w:t xml:space="preserve"> </w:t>
      </w:r>
      <w:r w:rsidR="00FA6458" w:rsidRPr="001761E7">
        <w:rPr>
          <w:szCs w:val="22"/>
          <w:lang w:eastAsia="en-GB"/>
        </w:rPr>
        <w:t>high levels of security threats</w:t>
      </w:r>
      <w:r w:rsidR="00FA6458">
        <w:rPr>
          <w:szCs w:val="22"/>
          <w:lang w:eastAsia="en-GB"/>
        </w:rPr>
        <w:t xml:space="preserve">, </w:t>
      </w:r>
      <w:r w:rsidR="00DD07F0">
        <w:rPr>
          <w:szCs w:val="22"/>
          <w:lang w:eastAsia="en-GB"/>
        </w:rPr>
        <w:t xml:space="preserve">the fight against terrorism, the so-called war on drugs and/or the fight on organised crime, migration management, </w:t>
      </w:r>
      <w:r w:rsidRPr="001761E7">
        <w:rPr>
          <w:szCs w:val="22"/>
          <w:lang w:eastAsia="en-GB"/>
        </w:rPr>
        <w:t xml:space="preserve">transitional </w:t>
      </w:r>
      <w:r w:rsidR="000156BF">
        <w:rPr>
          <w:szCs w:val="22"/>
          <w:lang w:eastAsia="en-GB"/>
        </w:rPr>
        <w:t xml:space="preserve">justice </w:t>
      </w:r>
      <w:r w:rsidRPr="001761E7">
        <w:rPr>
          <w:szCs w:val="22"/>
          <w:lang w:eastAsia="en-GB"/>
        </w:rPr>
        <w:t xml:space="preserve">processes, </w:t>
      </w:r>
      <w:r w:rsidR="00DD07F0">
        <w:rPr>
          <w:szCs w:val="22"/>
          <w:lang w:eastAsia="en-GB"/>
        </w:rPr>
        <w:t>a</w:t>
      </w:r>
      <w:r w:rsidR="000156BF">
        <w:rPr>
          <w:szCs w:val="22"/>
          <w:lang w:eastAsia="en-GB"/>
        </w:rPr>
        <w:t>nd/</w:t>
      </w:r>
      <w:r w:rsidRPr="001761E7">
        <w:rPr>
          <w:szCs w:val="22"/>
          <w:lang w:eastAsia="en-GB"/>
        </w:rPr>
        <w:t xml:space="preserve">or </w:t>
      </w:r>
      <w:r w:rsidR="000156BF">
        <w:rPr>
          <w:szCs w:val="22"/>
          <w:lang w:eastAsia="en-GB"/>
        </w:rPr>
        <w:t xml:space="preserve">include </w:t>
      </w:r>
      <w:r w:rsidRPr="001761E7">
        <w:rPr>
          <w:szCs w:val="22"/>
          <w:lang w:eastAsia="en-GB"/>
        </w:rPr>
        <w:t>advocating campaigns against enforced disappearances and extrajudicial executions as well as fighting impunity related to the</w:t>
      </w:r>
      <w:r w:rsidR="000156BF">
        <w:rPr>
          <w:szCs w:val="22"/>
          <w:lang w:eastAsia="en-GB"/>
        </w:rPr>
        <w:t>m</w:t>
      </w:r>
      <w:r w:rsidRPr="001761E7">
        <w:rPr>
          <w:szCs w:val="22"/>
          <w:lang w:eastAsia="en-GB"/>
        </w:rPr>
        <w:t xml:space="preserve">.  </w:t>
      </w:r>
    </w:p>
    <w:p w14:paraId="363F9A1D" w14:textId="55AC9CBC" w:rsidR="004170E5" w:rsidRPr="001761E7" w:rsidRDefault="004170E5" w:rsidP="004170E5">
      <w:pPr>
        <w:autoSpaceDE w:val="0"/>
        <w:autoSpaceDN w:val="0"/>
        <w:adjustRightInd w:val="0"/>
        <w:spacing w:before="0" w:after="0"/>
        <w:rPr>
          <w:szCs w:val="22"/>
          <w:lang w:eastAsia="en-GB"/>
        </w:rPr>
      </w:pPr>
      <w:r w:rsidRPr="001761E7">
        <w:rPr>
          <w:szCs w:val="22"/>
          <w:lang w:eastAsia="en-GB"/>
        </w:rPr>
        <w:t>Actions are encouraged to explore the links between the promotion of civil, political, economic, social and cultural rights and the phenomena of enforced disappearances</w:t>
      </w:r>
      <w:r w:rsidR="00B70B60">
        <w:rPr>
          <w:szCs w:val="22"/>
          <w:lang w:eastAsia="en-GB"/>
        </w:rPr>
        <w:t xml:space="preserve"> </w:t>
      </w:r>
      <w:r w:rsidRPr="001761E7">
        <w:rPr>
          <w:szCs w:val="22"/>
          <w:lang w:eastAsia="en-GB"/>
        </w:rPr>
        <w:t>and extrajudicial killings</w:t>
      </w:r>
      <w:r w:rsidR="000156BF">
        <w:rPr>
          <w:szCs w:val="22"/>
          <w:lang w:eastAsia="en-GB"/>
        </w:rPr>
        <w:t>.</w:t>
      </w:r>
      <w:r w:rsidRPr="001761E7">
        <w:rPr>
          <w:szCs w:val="22"/>
          <w:lang w:eastAsia="en-GB"/>
        </w:rPr>
        <w:t xml:space="preserve"> </w:t>
      </w:r>
    </w:p>
    <w:p w14:paraId="41081670" w14:textId="77777777" w:rsidR="004170E5" w:rsidRPr="001761E7" w:rsidRDefault="004170E5" w:rsidP="004170E5">
      <w:pPr>
        <w:autoSpaceDE w:val="0"/>
        <w:autoSpaceDN w:val="0"/>
        <w:adjustRightInd w:val="0"/>
        <w:spacing w:before="0" w:after="0"/>
        <w:rPr>
          <w:szCs w:val="22"/>
          <w:lang w:eastAsia="en-GB"/>
        </w:rPr>
      </w:pPr>
    </w:p>
    <w:p w14:paraId="79E69524" w14:textId="5A05BF19" w:rsidR="007C113E" w:rsidRDefault="00FA6458" w:rsidP="00326B2B">
      <w:pPr>
        <w:autoSpaceDE w:val="0"/>
        <w:autoSpaceDN w:val="0"/>
        <w:adjustRightInd w:val="0"/>
        <w:spacing w:before="0" w:after="0"/>
        <w:rPr>
          <w:u w:val="single"/>
        </w:rPr>
      </w:pPr>
      <w:r>
        <w:rPr>
          <w:u w:val="single"/>
        </w:rPr>
        <w:br w:type="page"/>
      </w:r>
      <w:r w:rsidR="00501074" w:rsidRPr="003F23B0">
        <w:rPr>
          <w:u w:val="single"/>
        </w:rPr>
        <w:lastRenderedPageBreak/>
        <w:t>Indicative and non-exhaustive list of activities for Lot 2:</w:t>
      </w:r>
    </w:p>
    <w:p w14:paraId="37765207" w14:textId="77777777" w:rsidR="00326B2B" w:rsidRPr="003F23B0" w:rsidRDefault="00326B2B" w:rsidP="00326B2B">
      <w:pPr>
        <w:autoSpaceDE w:val="0"/>
        <w:autoSpaceDN w:val="0"/>
        <w:adjustRightInd w:val="0"/>
        <w:spacing w:before="0" w:after="0"/>
        <w:rPr>
          <w:u w:val="single"/>
        </w:rPr>
      </w:pPr>
    </w:p>
    <w:p w14:paraId="0D6EABD7" w14:textId="77777777" w:rsidR="008B6969" w:rsidRPr="00FA6458" w:rsidRDefault="008B6969" w:rsidP="008B6969">
      <w:pPr>
        <w:spacing w:before="0"/>
        <w:rPr>
          <w:b/>
          <w:i/>
          <w:szCs w:val="22"/>
        </w:rPr>
      </w:pPr>
      <w:r w:rsidRPr="00FA6458">
        <w:rPr>
          <w:b/>
          <w:i/>
          <w:szCs w:val="22"/>
        </w:rPr>
        <w:t>Prevention</w:t>
      </w:r>
    </w:p>
    <w:p w14:paraId="69C3064F" w14:textId="5CAD7140" w:rsidR="008B6969" w:rsidRPr="00FA6458" w:rsidRDefault="008B6969" w:rsidP="00FA6458">
      <w:pPr>
        <w:numPr>
          <w:ilvl w:val="0"/>
          <w:numId w:val="43"/>
        </w:numPr>
        <w:spacing w:before="0" w:after="0"/>
        <w:rPr>
          <w:szCs w:val="22"/>
        </w:rPr>
      </w:pPr>
      <w:r w:rsidRPr="001761E7">
        <w:rPr>
          <w:szCs w:val="22"/>
        </w:rPr>
        <w:t>measures such as information, advocacy, campaigns and others for the signing</w:t>
      </w:r>
      <w:r w:rsidR="00813268">
        <w:rPr>
          <w:szCs w:val="22"/>
        </w:rPr>
        <w:t xml:space="preserve">, </w:t>
      </w:r>
      <w:r w:rsidRPr="001761E7">
        <w:rPr>
          <w:szCs w:val="22"/>
        </w:rPr>
        <w:t>ratification</w:t>
      </w:r>
      <w:r w:rsidR="00813268">
        <w:rPr>
          <w:szCs w:val="22"/>
        </w:rPr>
        <w:t xml:space="preserve"> and implementation</w:t>
      </w:r>
      <w:r w:rsidRPr="001761E7">
        <w:rPr>
          <w:szCs w:val="22"/>
        </w:rPr>
        <w:t xml:space="preserve"> of the relevant </w:t>
      </w:r>
      <w:r w:rsidR="00813268">
        <w:rPr>
          <w:szCs w:val="22"/>
        </w:rPr>
        <w:t xml:space="preserve">regional and </w:t>
      </w:r>
      <w:r w:rsidRPr="001761E7">
        <w:rPr>
          <w:szCs w:val="22"/>
        </w:rPr>
        <w:t>international conventions (</w:t>
      </w:r>
      <w:r w:rsidR="00813268">
        <w:rPr>
          <w:szCs w:val="22"/>
        </w:rPr>
        <w:t xml:space="preserve">e.g. </w:t>
      </w:r>
      <w:r w:rsidRPr="001761E7">
        <w:rPr>
          <w:szCs w:val="22"/>
        </w:rPr>
        <w:t>C</w:t>
      </w:r>
      <w:r w:rsidR="00E34BB2">
        <w:rPr>
          <w:szCs w:val="22"/>
        </w:rPr>
        <w:t xml:space="preserve">onvention for the Protection of All Persons from </w:t>
      </w:r>
      <w:r w:rsidRPr="001761E7">
        <w:rPr>
          <w:szCs w:val="22"/>
        </w:rPr>
        <w:t>E</w:t>
      </w:r>
      <w:r w:rsidR="00E34BB2">
        <w:rPr>
          <w:szCs w:val="22"/>
        </w:rPr>
        <w:t xml:space="preserve">nforced </w:t>
      </w:r>
      <w:r w:rsidRPr="001761E7">
        <w:rPr>
          <w:szCs w:val="22"/>
        </w:rPr>
        <w:t>D</w:t>
      </w:r>
      <w:r w:rsidR="00E34BB2">
        <w:rPr>
          <w:szCs w:val="22"/>
        </w:rPr>
        <w:t>isappearances</w:t>
      </w:r>
      <w:r w:rsidR="00006721">
        <w:rPr>
          <w:szCs w:val="22"/>
        </w:rPr>
        <w:t>, Inter-American Convention on Forced Disappearance of Persons</w:t>
      </w:r>
      <w:r w:rsidRPr="001761E7">
        <w:rPr>
          <w:szCs w:val="22"/>
        </w:rPr>
        <w:t>)</w:t>
      </w:r>
      <w:r w:rsidR="00304CCF">
        <w:rPr>
          <w:szCs w:val="22"/>
        </w:rPr>
        <w:t>;</w:t>
      </w:r>
    </w:p>
    <w:p w14:paraId="79D5EF2B" w14:textId="3BFD3412" w:rsidR="008B6969" w:rsidRPr="001761E7" w:rsidRDefault="008B6969" w:rsidP="00FA6458">
      <w:pPr>
        <w:numPr>
          <w:ilvl w:val="0"/>
          <w:numId w:val="43"/>
        </w:numPr>
        <w:spacing w:before="0" w:after="0"/>
        <w:rPr>
          <w:szCs w:val="22"/>
        </w:rPr>
      </w:pPr>
      <w:r w:rsidRPr="001761E7">
        <w:rPr>
          <w:szCs w:val="22"/>
        </w:rPr>
        <w:t xml:space="preserve">measures </w:t>
      </w:r>
      <w:r w:rsidR="00E34BB2">
        <w:rPr>
          <w:szCs w:val="22"/>
        </w:rPr>
        <w:t>to ensure</w:t>
      </w:r>
      <w:r w:rsidRPr="001761E7">
        <w:rPr>
          <w:szCs w:val="22"/>
        </w:rPr>
        <w:t xml:space="preserve"> better implementation of existing </w:t>
      </w:r>
      <w:r w:rsidR="0096122B" w:rsidRPr="001761E7">
        <w:rPr>
          <w:szCs w:val="22"/>
        </w:rPr>
        <w:t xml:space="preserve">national, regional and international </w:t>
      </w:r>
      <w:r w:rsidRPr="001761E7">
        <w:rPr>
          <w:szCs w:val="22"/>
        </w:rPr>
        <w:t xml:space="preserve">laws or </w:t>
      </w:r>
      <w:r w:rsidR="00E34BB2">
        <w:rPr>
          <w:szCs w:val="22"/>
        </w:rPr>
        <w:t xml:space="preserve">the </w:t>
      </w:r>
      <w:r w:rsidRPr="001761E7">
        <w:rPr>
          <w:szCs w:val="22"/>
        </w:rPr>
        <w:t>reinforcement of legislation regarding arbitrary detentions, enforced disappearances or extra judicial killings</w:t>
      </w:r>
      <w:r w:rsidR="00304CCF">
        <w:rPr>
          <w:szCs w:val="22"/>
        </w:rPr>
        <w:t>;</w:t>
      </w:r>
    </w:p>
    <w:p w14:paraId="1F454919" w14:textId="0BA4B9AA" w:rsidR="008B6969" w:rsidRPr="00FA6458" w:rsidRDefault="00304CCF" w:rsidP="00FA6458">
      <w:pPr>
        <w:numPr>
          <w:ilvl w:val="0"/>
          <w:numId w:val="43"/>
        </w:numPr>
        <w:spacing w:before="0" w:after="0"/>
        <w:rPr>
          <w:szCs w:val="22"/>
        </w:rPr>
      </w:pPr>
      <w:r w:rsidRPr="00FA6458">
        <w:rPr>
          <w:szCs w:val="22"/>
        </w:rPr>
        <w:t xml:space="preserve">training </w:t>
      </w:r>
      <w:r w:rsidR="008B6969" w:rsidRPr="00FA6458">
        <w:rPr>
          <w:szCs w:val="22"/>
        </w:rPr>
        <w:t xml:space="preserve">courses, education and counselling </w:t>
      </w:r>
      <w:r w:rsidR="000156BF" w:rsidRPr="00FA6458">
        <w:rPr>
          <w:szCs w:val="22"/>
        </w:rPr>
        <w:t xml:space="preserve">of appropriate stakeholders </w:t>
      </w:r>
      <w:r w:rsidR="008B6969" w:rsidRPr="00FA6458">
        <w:rPr>
          <w:szCs w:val="22"/>
        </w:rPr>
        <w:t>on detection and protection against disappearances and/or arbitrary detentions</w:t>
      </w:r>
      <w:r w:rsidRPr="00FA6458">
        <w:rPr>
          <w:szCs w:val="22"/>
        </w:rPr>
        <w:t>;</w:t>
      </w:r>
    </w:p>
    <w:p w14:paraId="4011FCF4" w14:textId="6875C185" w:rsidR="008B6969" w:rsidRPr="00FA6458" w:rsidRDefault="00304CCF" w:rsidP="00FA6458">
      <w:pPr>
        <w:numPr>
          <w:ilvl w:val="0"/>
          <w:numId w:val="43"/>
        </w:numPr>
        <w:spacing w:before="0" w:after="0"/>
        <w:rPr>
          <w:szCs w:val="22"/>
        </w:rPr>
      </w:pPr>
      <w:r w:rsidRPr="00FA6458">
        <w:rPr>
          <w:szCs w:val="22"/>
        </w:rPr>
        <w:t xml:space="preserve">advocacy </w:t>
      </w:r>
      <w:r w:rsidR="000156BF" w:rsidRPr="00FA6458">
        <w:rPr>
          <w:szCs w:val="22"/>
        </w:rPr>
        <w:t>t</w:t>
      </w:r>
      <w:r w:rsidR="008B6969" w:rsidRPr="00FA6458">
        <w:rPr>
          <w:szCs w:val="22"/>
        </w:rPr>
        <w:t>o prevent the practice of arbitrary detentions and enforced disappearances</w:t>
      </w:r>
      <w:r w:rsidRPr="00FA6458">
        <w:rPr>
          <w:szCs w:val="22"/>
        </w:rPr>
        <w:t>;</w:t>
      </w:r>
    </w:p>
    <w:p w14:paraId="0D21F150" w14:textId="088E0A53" w:rsidR="00D5191E" w:rsidRPr="00FA6458" w:rsidRDefault="00D5191E" w:rsidP="00FA6458">
      <w:pPr>
        <w:numPr>
          <w:ilvl w:val="0"/>
          <w:numId w:val="43"/>
        </w:numPr>
        <w:spacing w:before="0" w:after="0"/>
        <w:rPr>
          <w:szCs w:val="22"/>
        </w:rPr>
      </w:pPr>
      <w:r w:rsidRPr="00FA6458">
        <w:rPr>
          <w:szCs w:val="22"/>
        </w:rPr>
        <w:t xml:space="preserve">creation of early reaction mechanisms directed to the </w:t>
      </w:r>
      <w:r w:rsidR="00813268" w:rsidRPr="00FA6458">
        <w:rPr>
          <w:szCs w:val="22"/>
        </w:rPr>
        <w:t>a</w:t>
      </w:r>
      <w:r w:rsidRPr="00FA6458">
        <w:rPr>
          <w:szCs w:val="22"/>
        </w:rPr>
        <w:t>uthorities against death threats, arbitrary detentions and extra judicial killings</w:t>
      </w:r>
      <w:r w:rsidR="00304CCF" w:rsidRPr="00FA6458">
        <w:rPr>
          <w:szCs w:val="22"/>
        </w:rPr>
        <w:t>;</w:t>
      </w:r>
      <w:r w:rsidRPr="00FA6458">
        <w:rPr>
          <w:szCs w:val="22"/>
        </w:rPr>
        <w:t xml:space="preserve"> </w:t>
      </w:r>
    </w:p>
    <w:p w14:paraId="6A334747" w14:textId="65B61346" w:rsidR="008B6969" w:rsidRPr="00FA6458" w:rsidRDefault="00304CCF" w:rsidP="00FA6458">
      <w:pPr>
        <w:numPr>
          <w:ilvl w:val="0"/>
          <w:numId w:val="43"/>
        </w:numPr>
        <w:spacing w:before="0" w:after="0"/>
        <w:rPr>
          <w:szCs w:val="22"/>
        </w:rPr>
      </w:pPr>
      <w:r w:rsidRPr="00FA6458">
        <w:rPr>
          <w:szCs w:val="22"/>
        </w:rPr>
        <w:t xml:space="preserve">support </w:t>
      </w:r>
      <w:r w:rsidR="008B6969" w:rsidRPr="00FA6458">
        <w:rPr>
          <w:szCs w:val="22"/>
        </w:rPr>
        <w:t>to existing mechanisms such as dedicated enquiry or case law, truth</w:t>
      </w:r>
      <w:r w:rsidR="00E34BB2">
        <w:rPr>
          <w:szCs w:val="22"/>
        </w:rPr>
        <w:t xml:space="preserve"> </w:t>
      </w:r>
      <w:r w:rsidR="008520B6">
        <w:rPr>
          <w:szCs w:val="22"/>
        </w:rPr>
        <w:t>(a</w:t>
      </w:r>
      <w:r w:rsidR="00E34BB2">
        <w:rPr>
          <w:szCs w:val="22"/>
        </w:rPr>
        <w:t>nd missing persons</w:t>
      </w:r>
      <w:r w:rsidR="008520B6">
        <w:rPr>
          <w:szCs w:val="22"/>
        </w:rPr>
        <w:t xml:space="preserve">) </w:t>
      </w:r>
      <w:r w:rsidR="008B6969" w:rsidRPr="00FA6458">
        <w:rPr>
          <w:szCs w:val="22"/>
        </w:rPr>
        <w:t>commissions</w:t>
      </w:r>
      <w:r w:rsidR="00A73A34" w:rsidRPr="00FA6458">
        <w:rPr>
          <w:szCs w:val="22"/>
        </w:rPr>
        <w:t xml:space="preserve"> as well as support to monitoring and evaluat</w:t>
      </w:r>
      <w:r w:rsidR="000156BF" w:rsidRPr="00FA6458">
        <w:rPr>
          <w:szCs w:val="22"/>
        </w:rPr>
        <w:t>ion of</w:t>
      </w:r>
      <w:r w:rsidR="00A73A34" w:rsidRPr="00FA6458">
        <w:rPr>
          <w:szCs w:val="22"/>
        </w:rPr>
        <w:t xml:space="preserve"> these tru</w:t>
      </w:r>
      <w:r w:rsidR="000156BF" w:rsidRPr="00FA6458">
        <w:rPr>
          <w:szCs w:val="22"/>
        </w:rPr>
        <w:t>th</w:t>
      </w:r>
      <w:r w:rsidR="00E34BB2">
        <w:rPr>
          <w:szCs w:val="22"/>
        </w:rPr>
        <w:t xml:space="preserve"> </w:t>
      </w:r>
      <w:r w:rsidR="008520B6">
        <w:rPr>
          <w:szCs w:val="22"/>
        </w:rPr>
        <w:t>(</w:t>
      </w:r>
      <w:r w:rsidR="00E34BB2">
        <w:rPr>
          <w:szCs w:val="22"/>
        </w:rPr>
        <w:t>and missing persons</w:t>
      </w:r>
      <w:r w:rsidR="008520B6">
        <w:rPr>
          <w:szCs w:val="22"/>
        </w:rPr>
        <w:t>)</w:t>
      </w:r>
      <w:r w:rsidR="00A73A34" w:rsidRPr="00FA6458">
        <w:rPr>
          <w:szCs w:val="22"/>
        </w:rPr>
        <w:t xml:space="preserve"> commissions</w:t>
      </w:r>
      <w:r w:rsidRPr="00FA6458">
        <w:rPr>
          <w:szCs w:val="22"/>
        </w:rPr>
        <w:t>;</w:t>
      </w:r>
    </w:p>
    <w:p w14:paraId="4C4257FE" w14:textId="2C541CB5" w:rsidR="008B6969" w:rsidRPr="00FA6458" w:rsidRDefault="008B6969" w:rsidP="00FA6458">
      <w:pPr>
        <w:numPr>
          <w:ilvl w:val="0"/>
          <w:numId w:val="43"/>
        </w:numPr>
        <w:spacing w:before="0" w:after="0"/>
        <w:rPr>
          <w:szCs w:val="22"/>
        </w:rPr>
      </w:pPr>
      <w:r w:rsidRPr="00FA6458">
        <w:rPr>
          <w:szCs w:val="22"/>
        </w:rPr>
        <w:t>awareness raising campaigns against extrajudicial killings and/or enforced disappearances, including identification of risk groups</w:t>
      </w:r>
      <w:r w:rsidR="00304CCF" w:rsidRPr="00FA6458">
        <w:rPr>
          <w:szCs w:val="22"/>
        </w:rPr>
        <w:t>;</w:t>
      </w:r>
    </w:p>
    <w:p w14:paraId="1E0FBECE" w14:textId="77777777" w:rsidR="008B6969" w:rsidRPr="001761E7" w:rsidRDefault="008B6969" w:rsidP="00DE3009">
      <w:pPr>
        <w:autoSpaceDE w:val="0"/>
        <w:autoSpaceDN w:val="0"/>
        <w:adjustRightInd w:val="0"/>
        <w:spacing w:before="0" w:after="0" w:line="276" w:lineRule="auto"/>
        <w:rPr>
          <w:color w:val="000000"/>
          <w:szCs w:val="22"/>
        </w:rPr>
      </w:pPr>
    </w:p>
    <w:p w14:paraId="2EBB2A20" w14:textId="647889FA" w:rsidR="00DE3009" w:rsidRPr="001761E7" w:rsidRDefault="008B6969" w:rsidP="00FA6458">
      <w:pPr>
        <w:spacing w:before="0"/>
        <w:rPr>
          <w:color w:val="000000"/>
          <w:szCs w:val="22"/>
          <w:u w:val="single"/>
        </w:rPr>
      </w:pPr>
      <w:r w:rsidRPr="00FA6458">
        <w:rPr>
          <w:b/>
          <w:i/>
          <w:szCs w:val="22"/>
        </w:rPr>
        <w:t>Accountability</w:t>
      </w:r>
    </w:p>
    <w:p w14:paraId="6E5A79CD" w14:textId="42DC1ED6" w:rsidR="008B6969" w:rsidRPr="001761E7" w:rsidRDefault="00304CCF" w:rsidP="00FA6458">
      <w:pPr>
        <w:numPr>
          <w:ilvl w:val="0"/>
          <w:numId w:val="43"/>
        </w:numPr>
        <w:spacing w:before="0" w:after="0"/>
        <w:rPr>
          <w:szCs w:val="22"/>
        </w:rPr>
      </w:pPr>
      <w:r w:rsidRPr="001761E7">
        <w:rPr>
          <w:szCs w:val="22"/>
        </w:rPr>
        <w:t>promoti</w:t>
      </w:r>
      <w:r>
        <w:rPr>
          <w:szCs w:val="22"/>
        </w:rPr>
        <w:t>on of</w:t>
      </w:r>
      <w:r w:rsidRPr="001761E7">
        <w:rPr>
          <w:szCs w:val="22"/>
        </w:rPr>
        <w:t xml:space="preserve"> </w:t>
      </w:r>
      <w:r>
        <w:rPr>
          <w:szCs w:val="22"/>
        </w:rPr>
        <w:t xml:space="preserve">and/or participation in </w:t>
      </w:r>
      <w:r w:rsidR="008B6969" w:rsidRPr="001761E7">
        <w:rPr>
          <w:szCs w:val="22"/>
        </w:rPr>
        <w:t>independent investigations in the case of enforced disappearance</w:t>
      </w:r>
      <w:r w:rsidR="00813268">
        <w:rPr>
          <w:szCs w:val="22"/>
        </w:rPr>
        <w:t>s</w:t>
      </w:r>
      <w:r>
        <w:rPr>
          <w:szCs w:val="22"/>
        </w:rPr>
        <w:t>;</w:t>
      </w:r>
    </w:p>
    <w:p w14:paraId="1FFF90C1" w14:textId="7BC36C8E" w:rsidR="008B6969" w:rsidRPr="00FA6458" w:rsidRDefault="00304CCF" w:rsidP="00FA6458">
      <w:pPr>
        <w:numPr>
          <w:ilvl w:val="0"/>
          <w:numId w:val="43"/>
        </w:numPr>
        <w:spacing w:before="0" w:after="0"/>
        <w:rPr>
          <w:szCs w:val="22"/>
        </w:rPr>
      </w:pPr>
      <w:r w:rsidRPr="00FA6458">
        <w:rPr>
          <w:szCs w:val="22"/>
        </w:rPr>
        <w:t xml:space="preserve">support </w:t>
      </w:r>
      <w:r w:rsidR="008B6969" w:rsidRPr="00FA6458">
        <w:rPr>
          <w:szCs w:val="22"/>
        </w:rPr>
        <w:t>to national campaigns empowering family victims</w:t>
      </w:r>
      <w:r w:rsidR="00E34BB2">
        <w:rPr>
          <w:szCs w:val="22"/>
        </w:rPr>
        <w:t>'</w:t>
      </w:r>
      <w:r w:rsidR="008B6969" w:rsidRPr="00FA6458">
        <w:rPr>
          <w:szCs w:val="22"/>
        </w:rPr>
        <w:t xml:space="preserve"> groups to engage with the </w:t>
      </w:r>
      <w:r w:rsidRPr="00FA6458">
        <w:rPr>
          <w:szCs w:val="22"/>
        </w:rPr>
        <w:t xml:space="preserve">appropriate duty bearers </w:t>
      </w:r>
      <w:r w:rsidR="008B6969" w:rsidRPr="00FA6458">
        <w:rPr>
          <w:szCs w:val="22"/>
        </w:rPr>
        <w:t xml:space="preserve">and seek for enquiry on </w:t>
      </w:r>
      <w:r w:rsidRPr="00FA6458">
        <w:rPr>
          <w:szCs w:val="22"/>
        </w:rPr>
        <w:t>extrajudicial killings and enforced disappearances;</w:t>
      </w:r>
    </w:p>
    <w:p w14:paraId="2A610984" w14:textId="65F856DB" w:rsidR="008B6969" w:rsidRPr="00FA6458" w:rsidRDefault="00304CCF" w:rsidP="00FA6458">
      <w:pPr>
        <w:numPr>
          <w:ilvl w:val="0"/>
          <w:numId w:val="43"/>
        </w:numPr>
        <w:spacing w:before="0" w:after="0"/>
        <w:rPr>
          <w:szCs w:val="22"/>
        </w:rPr>
      </w:pPr>
      <w:r w:rsidRPr="00FA6458">
        <w:rPr>
          <w:szCs w:val="22"/>
        </w:rPr>
        <w:t xml:space="preserve">support </w:t>
      </w:r>
      <w:r w:rsidR="008B6969" w:rsidRPr="00FA6458">
        <w:rPr>
          <w:szCs w:val="22"/>
        </w:rPr>
        <w:t xml:space="preserve">to </w:t>
      </w:r>
      <w:r w:rsidRPr="00FA6458">
        <w:rPr>
          <w:szCs w:val="22"/>
        </w:rPr>
        <w:t xml:space="preserve">legal </w:t>
      </w:r>
      <w:r w:rsidR="008B6969" w:rsidRPr="00FA6458">
        <w:rPr>
          <w:szCs w:val="22"/>
        </w:rPr>
        <w:t>actions at national, regional and international level in cases of disappearances and extrajudicial killings, including bringing cases before the relevant</w:t>
      </w:r>
      <w:r w:rsidR="00813268" w:rsidRPr="00FA6458">
        <w:rPr>
          <w:szCs w:val="22"/>
        </w:rPr>
        <w:t xml:space="preserve"> national,</w:t>
      </w:r>
      <w:r w:rsidR="008B6969" w:rsidRPr="00FA6458">
        <w:rPr>
          <w:szCs w:val="22"/>
        </w:rPr>
        <w:t xml:space="preserve"> regional/international body</w:t>
      </w:r>
      <w:r w:rsidR="00813268" w:rsidRPr="00FA6458">
        <w:rPr>
          <w:szCs w:val="22"/>
        </w:rPr>
        <w:t>(</w:t>
      </w:r>
      <w:proofErr w:type="spellStart"/>
      <w:r w:rsidR="00813268" w:rsidRPr="00FA6458">
        <w:rPr>
          <w:szCs w:val="22"/>
        </w:rPr>
        <w:t>ies</w:t>
      </w:r>
      <w:proofErr w:type="spellEnd"/>
      <w:r w:rsidR="00813268" w:rsidRPr="00FA6458">
        <w:rPr>
          <w:szCs w:val="22"/>
        </w:rPr>
        <w:t>)</w:t>
      </w:r>
      <w:r w:rsidR="008B6969" w:rsidRPr="00FA6458">
        <w:rPr>
          <w:szCs w:val="22"/>
        </w:rPr>
        <w:t xml:space="preserve">, </w:t>
      </w:r>
      <w:r w:rsidR="00A73A34" w:rsidRPr="00FA6458">
        <w:rPr>
          <w:szCs w:val="22"/>
        </w:rPr>
        <w:t>when</w:t>
      </w:r>
      <w:r w:rsidR="008B6969" w:rsidRPr="00FA6458">
        <w:rPr>
          <w:szCs w:val="22"/>
        </w:rPr>
        <w:t xml:space="preserve"> the criteria are met</w:t>
      </w:r>
      <w:r w:rsidRPr="00FA6458">
        <w:rPr>
          <w:szCs w:val="22"/>
        </w:rPr>
        <w:t xml:space="preserve">;  </w:t>
      </w:r>
    </w:p>
    <w:p w14:paraId="67B6D8C7" w14:textId="0328FA7C" w:rsidR="008B6969" w:rsidRPr="00FA6458" w:rsidRDefault="00304CCF" w:rsidP="00FA6458">
      <w:pPr>
        <w:numPr>
          <w:ilvl w:val="0"/>
          <w:numId w:val="43"/>
        </w:numPr>
        <w:spacing w:before="0" w:after="0"/>
        <w:rPr>
          <w:szCs w:val="22"/>
        </w:rPr>
      </w:pPr>
      <w:r w:rsidRPr="00FA6458">
        <w:rPr>
          <w:szCs w:val="22"/>
        </w:rPr>
        <w:t>advocacy</w:t>
      </w:r>
      <w:r w:rsidR="008B6969" w:rsidRPr="00FA6458">
        <w:rPr>
          <w:szCs w:val="22"/>
        </w:rPr>
        <w:t xml:space="preserve"> for reparation programmes and guarantees of non-recurrence</w:t>
      </w:r>
      <w:r w:rsidRPr="00FA6458">
        <w:rPr>
          <w:szCs w:val="22"/>
        </w:rPr>
        <w:t>;</w:t>
      </w:r>
      <w:r w:rsidR="008B6969" w:rsidRPr="00FA6458">
        <w:rPr>
          <w:szCs w:val="22"/>
        </w:rPr>
        <w:t xml:space="preserve"> </w:t>
      </w:r>
    </w:p>
    <w:p w14:paraId="6CA74399" w14:textId="6A0E7C8A" w:rsidR="008B6969" w:rsidRPr="00FA6458" w:rsidRDefault="008B6969" w:rsidP="00FA6458">
      <w:pPr>
        <w:numPr>
          <w:ilvl w:val="0"/>
          <w:numId w:val="43"/>
        </w:numPr>
        <w:spacing w:before="0" w:after="0"/>
        <w:rPr>
          <w:szCs w:val="22"/>
        </w:rPr>
      </w:pPr>
      <w:r w:rsidRPr="00FA6458">
        <w:rPr>
          <w:szCs w:val="22"/>
        </w:rPr>
        <w:t>creation of data</w:t>
      </w:r>
      <w:r w:rsidR="005A0515" w:rsidRPr="00FA6458">
        <w:rPr>
          <w:szCs w:val="22"/>
        </w:rPr>
        <w:t>-</w:t>
      </w:r>
      <w:r w:rsidRPr="00FA6458">
        <w:rPr>
          <w:szCs w:val="22"/>
        </w:rPr>
        <w:t>bases to gather biological data, such as DNA, and identification ante-mortem and post-mortem, data</w:t>
      </w:r>
      <w:r w:rsidR="005A0515" w:rsidRPr="00FA6458">
        <w:rPr>
          <w:szCs w:val="22"/>
        </w:rPr>
        <w:t>-</w:t>
      </w:r>
      <w:r w:rsidRPr="00FA6458">
        <w:rPr>
          <w:szCs w:val="22"/>
        </w:rPr>
        <w:t>bases on not identified remains and treatment of not identified bodies, as well as treatment and regulation regarding common graves</w:t>
      </w:r>
      <w:r w:rsidR="00304CCF" w:rsidRPr="00FA6458">
        <w:rPr>
          <w:szCs w:val="22"/>
        </w:rPr>
        <w:t>;</w:t>
      </w:r>
    </w:p>
    <w:p w14:paraId="67D947B4" w14:textId="5A5E10F7" w:rsidR="008B6969" w:rsidRPr="00FA6458" w:rsidRDefault="00304CCF" w:rsidP="00FA6458">
      <w:pPr>
        <w:numPr>
          <w:ilvl w:val="0"/>
          <w:numId w:val="43"/>
        </w:numPr>
        <w:spacing w:before="0" w:after="0"/>
        <w:rPr>
          <w:szCs w:val="22"/>
        </w:rPr>
      </w:pPr>
      <w:r w:rsidRPr="00FA6458">
        <w:rPr>
          <w:szCs w:val="22"/>
        </w:rPr>
        <w:t xml:space="preserve">provision </w:t>
      </w:r>
      <w:r w:rsidR="008B6969" w:rsidRPr="00FA6458">
        <w:rPr>
          <w:szCs w:val="22"/>
        </w:rPr>
        <w:t>of legal, medical and psychological assistance to family victims and survivors</w:t>
      </w:r>
      <w:r w:rsidRPr="00FA6458">
        <w:rPr>
          <w:szCs w:val="22"/>
        </w:rPr>
        <w:t>;</w:t>
      </w:r>
      <w:r w:rsidR="008B6969" w:rsidRPr="00FA6458">
        <w:rPr>
          <w:szCs w:val="22"/>
        </w:rPr>
        <w:t xml:space="preserve">  </w:t>
      </w:r>
    </w:p>
    <w:p w14:paraId="15A0BFA7" w14:textId="37B8B739" w:rsidR="008B6969" w:rsidRPr="00FA6458" w:rsidRDefault="00304CCF" w:rsidP="00FA6458">
      <w:pPr>
        <w:numPr>
          <w:ilvl w:val="0"/>
          <w:numId w:val="43"/>
        </w:numPr>
        <w:spacing w:before="0" w:after="0"/>
        <w:rPr>
          <w:szCs w:val="22"/>
        </w:rPr>
      </w:pPr>
      <w:r w:rsidRPr="00FA6458">
        <w:rPr>
          <w:szCs w:val="22"/>
        </w:rPr>
        <w:t xml:space="preserve">protection </w:t>
      </w:r>
      <w:r w:rsidR="008B6969" w:rsidRPr="00FA6458">
        <w:rPr>
          <w:szCs w:val="22"/>
        </w:rPr>
        <w:t xml:space="preserve">for witnesses of </w:t>
      </w:r>
      <w:r w:rsidRPr="00FA6458">
        <w:rPr>
          <w:szCs w:val="22"/>
        </w:rPr>
        <w:t>enforced disappearances</w:t>
      </w:r>
      <w:r w:rsidR="008B6969" w:rsidRPr="00FA6458">
        <w:rPr>
          <w:szCs w:val="22"/>
        </w:rPr>
        <w:t xml:space="preserve"> and/or extrajudicial killings</w:t>
      </w:r>
      <w:r w:rsidRPr="00FA6458">
        <w:rPr>
          <w:szCs w:val="22"/>
        </w:rPr>
        <w:t>;</w:t>
      </w:r>
    </w:p>
    <w:p w14:paraId="02B6816D" w14:textId="77D1114D" w:rsidR="0059391B" w:rsidRPr="00FA6458" w:rsidRDefault="008B6969" w:rsidP="00FA6458">
      <w:pPr>
        <w:numPr>
          <w:ilvl w:val="0"/>
          <w:numId w:val="43"/>
        </w:numPr>
        <w:spacing w:before="0" w:after="0"/>
        <w:rPr>
          <w:szCs w:val="22"/>
        </w:rPr>
      </w:pPr>
      <w:r w:rsidRPr="00FA6458">
        <w:rPr>
          <w:szCs w:val="22"/>
        </w:rPr>
        <w:t>Support to forensic and scientific investigations in cases of extrajudicial killings and/or enforced disappearances</w:t>
      </w:r>
      <w:r w:rsidR="00585382">
        <w:rPr>
          <w:szCs w:val="22"/>
        </w:rPr>
        <w:t>.</w:t>
      </w:r>
    </w:p>
    <w:p w14:paraId="6D0FE880" w14:textId="77777777" w:rsidR="00FA6458" w:rsidRDefault="00FA645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501074" w:rsidRPr="00A91CBA" w14:paraId="6FE030E4" w14:textId="77777777" w:rsidTr="00501074">
        <w:tc>
          <w:tcPr>
            <w:tcW w:w="9570" w:type="dxa"/>
          </w:tcPr>
          <w:p w14:paraId="008455E7" w14:textId="13287182" w:rsidR="00501074" w:rsidRPr="00A91CBA" w:rsidRDefault="00304CCF" w:rsidP="00583B5B">
            <w:pPr>
              <w:rPr>
                <w:rFonts w:ascii="Times New Roman Bold" w:hAnsi="Times New Roman Bold"/>
                <w:b/>
                <w:smallCaps/>
              </w:rPr>
            </w:pPr>
            <w:r w:rsidRPr="00FA6458">
              <w:rPr>
                <w:szCs w:val="22"/>
              </w:rPr>
              <w:br w:type="page"/>
            </w:r>
            <w:r w:rsidR="00501074" w:rsidRPr="00A91CBA">
              <w:rPr>
                <w:rFonts w:ascii="Times New Roman Bold" w:hAnsi="Times New Roman Bold"/>
                <w:b/>
                <w:smallCaps/>
              </w:rPr>
              <w:t xml:space="preserve">LOT 3: </w:t>
            </w:r>
            <w:r w:rsidR="00501074" w:rsidRPr="00501074">
              <w:rPr>
                <w:rFonts w:ascii="Times New Roman Bold" w:hAnsi="Times New Roman Bold"/>
                <w:b/>
                <w:smallCaps/>
              </w:rPr>
              <w:t xml:space="preserve">Combating </w:t>
            </w:r>
            <w:r w:rsidR="00583B5B" w:rsidRPr="00501074">
              <w:rPr>
                <w:rFonts w:ascii="Times New Roman Bold" w:hAnsi="Times New Roman Bold"/>
                <w:b/>
                <w:smallCaps/>
              </w:rPr>
              <w:t>forced labour</w:t>
            </w:r>
            <w:r w:rsidR="003F1916">
              <w:rPr>
                <w:rFonts w:ascii="Times New Roman Bold" w:hAnsi="Times New Roman Bold"/>
                <w:b/>
                <w:smallCaps/>
              </w:rPr>
              <w:t xml:space="preserve"> </w:t>
            </w:r>
            <w:proofErr w:type="gramStart"/>
            <w:r w:rsidR="003F1916">
              <w:rPr>
                <w:rFonts w:ascii="Times New Roman Bold" w:hAnsi="Times New Roman Bold"/>
                <w:b/>
                <w:smallCaps/>
              </w:rPr>
              <w:t>AND</w:t>
            </w:r>
            <w:r w:rsidR="00583B5B">
              <w:rPr>
                <w:rFonts w:ascii="Times New Roman Bold" w:hAnsi="Times New Roman Bold"/>
                <w:b/>
                <w:smallCaps/>
              </w:rPr>
              <w:t xml:space="preserve">  </w:t>
            </w:r>
            <w:r w:rsidR="00501074" w:rsidRPr="00501074">
              <w:rPr>
                <w:rFonts w:ascii="Times New Roman Bold" w:hAnsi="Times New Roman Bold"/>
                <w:b/>
                <w:smallCaps/>
              </w:rPr>
              <w:t>modern</w:t>
            </w:r>
            <w:proofErr w:type="gramEnd"/>
            <w:r w:rsidR="003F1916">
              <w:rPr>
                <w:rFonts w:ascii="Times New Roman Bold" w:hAnsi="Times New Roman Bold"/>
                <w:b/>
                <w:smallCaps/>
              </w:rPr>
              <w:t xml:space="preserve"> </w:t>
            </w:r>
            <w:r w:rsidR="00583B5B">
              <w:rPr>
                <w:rFonts w:ascii="Times New Roman Bold" w:hAnsi="Times New Roman Bold"/>
                <w:b/>
                <w:smallCaps/>
              </w:rPr>
              <w:t xml:space="preserve">slavery </w:t>
            </w:r>
            <w:r w:rsidR="00501074" w:rsidRPr="00501074">
              <w:rPr>
                <w:rFonts w:ascii="Times New Roman Bold" w:hAnsi="Times New Roman Bold"/>
                <w:b/>
                <w:smallCaps/>
              </w:rPr>
              <w:t>.</w:t>
            </w:r>
          </w:p>
        </w:tc>
      </w:tr>
    </w:tbl>
    <w:p w14:paraId="06C0A0F4" w14:textId="3080319E" w:rsidR="00501074" w:rsidRDefault="00501074" w:rsidP="00501074">
      <w:r>
        <w:t xml:space="preserve">The </w:t>
      </w:r>
      <w:r w:rsidRPr="00501074">
        <w:rPr>
          <w:b/>
        </w:rPr>
        <w:t xml:space="preserve">general </w:t>
      </w:r>
      <w:r w:rsidRPr="00FA6458">
        <w:rPr>
          <w:b/>
        </w:rPr>
        <w:t>objective of Lot 3</w:t>
      </w:r>
      <w:r>
        <w:t xml:space="preserve"> is </w:t>
      </w:r>
      <w:r w:rsidR="00D84647">
        <w:t>to support</w:t>
      </w:r>
      <w:r w:rsidR="00F95C11">
        <w:t xml:space="preserve"> actions contributing to combat forced labour</w:t>
      </w:r>
      <w:r w:rsidR="00F11563">
        <w:t xml:space="preserve"> in</w:t>
      </w:r>
      <w:r w:rsidR="00F95C11">
        <w:t xml:space="preserve"> the agriculture/forestry sector with coercive recruitment practices.</w:t>
      </w:r>
    </w:p>
    <w:p w14:paraId="2BE930FB" w14:textId="3346B24F" w:rsidR="00CC13AC" w:rsidRDefault="00D84647" w:rsidP="00D30927">
      <w:r>
        <w:t xml:space="preserve">This </w:t>
      </w:r>
      <w:r w:rsidR="00F11563">
        <w:t>general objective</w:t>
      </w:r>
      <w:r w:rsidR="00E14F38">
        <w:t xml:space="preserve"> </w:t>
      </w:r>
      <w:r>
        <w:t xml:space="preserve">is </w:t>
      </w:r>
      <w:r w:rsidR="00D30927">
        <w:t xml:space="preserve">fully </w:t>
      </w:r>
      <w:r>
        <w:t xml:space="preserve">in line with the commitment 8.7 </w:t>
      </w:r>
      <w:r w:rsidR="00D30927">
        <w:t xml:space="preserve">of the Sustainable Development </w:t>
      </w:r>
      <w:r w:rsidR="00FA6458">
        <w:t>G</w:t>
      </w:r>
      <w:r w:rsidR="00D30927">
        <w:t>oals</w:t>
      </w:r>
      <w:r w:rsidR="00585382">
        <w:t>:</w:t>
      </w:r>
      <w:r w:rsidR="00D30927">
        <w:t xml:space="preserve"> "</w:t>
      </w:r>
      <w:r w:rsidR="00FA6458">
        <w:rPr>
          <w:i/>
        </w:rPr>
        <w:t>t</w:t>
      </w:r>
      <w:r w:rsidRPr="00FA6458">
        <w:rPr>
          <w:i/>
        </w:rPr>
        <w:t>ake immediate and effective measures to eradicate forced labour, end modern slavery and human trafficking and secure the prohibition and elimination of the worst forms of child labour, including recruitment and use of child soldiers, and by 2025 end child labour in all its forms</w:t>
      </w:r>
      <w:r w:rsidRPr="00D84647">
        <w:t>.</w:t>
      </w:r>
      <w:r w:rsidR="00D30927">
        <w:t xml:space="preserve">" </w:t>
      </w:r>
      <w:r w:rsidR="00700C06">
        <w:t xml:space="preserve">It is also consistent with </w:t>
      </w:r>
      <w:r w:rsidR="00F11563">
        <w:t xml:space="preserve">the </w:t>
      </w:r>
      <w:r w:rsidR="00CC13AC" w:rsidRPr="00C90F9F">
        <w:t>fundamental ILO Conventions on the subject</w:t>
      </w:r>
      <w:r w:rsidR="00F11563" w:rsidRPr="00C90F9F">
        <w:t>:</w:t>
      </w:r>
      <w:r w:rsidR="00CC13AC" w:rsidRPr="00C90F9F">
        <w:t xml:space="preserve"> </w:t>
      </w:r>
      <w:r w:rsidR="00B26071">
        <w:t xml:space="preserve">the Forced Labour </w:t>
      </w:r>
      <w:r w:rsidR="00CC13AC" w:rsidRPr="00C90F9F">
        <w:t>Convention</w:t>
      </w:r>
      <w:r w:rsidR="00B26071">
        <w:t>, 1930 (</w:t>
      </w:r>
      <w:r w:rsidR="00CC13AC" w:rsidRPr="00C90F9F">
        <w:t>N</w:t>
      </w:r>
      <w:r w:rsidR="00FA6458" w:rsidRPr="00C90F9F">
        <w:t>°</w:t>
      </w:r>
      <w:r w:rsidR="00CC13AC" w:rsidRPr="00C90F9F">
        <w:t xml:space="preserve"> 29</w:t>
      </w:r>
      <w:r w:rsidR="00B26071">
        <w:t>)</w:t>
      </w:r>
      <w:r w:rsidR="00CC13AC" w:rsidRPr="00C90F9F">
        <w:t xml:space="preserve"> </w:t>
      </w:r>
      <w:r w:rsidR="00184AA4" w:rsidRPr="00C90F9F">
        <w:t xml:space="preserve">and its </w:t>
      </w:r>
      <w:r w:rsidR="00B26071">
        <w:t>P</w:t>
      </w:r>
      <w:r w:rsidR="00184AA4" w:rsidRPr="00C90F9F">
        <w:t xml:space="preserve">rotocol </w:t>
      </w:r>
      <w:r w:rsidR="00B26071">
        <w:t>of</w:t>
      </w:r>
      <w:r w:rsidR="00184AA4" w:rsidRPr="00C90F9F">
        <w:t xml:space="preserve"> 2014, </w:t>
      </w:r>
      <w:r w:rsidR="00B26071">
        <w:t>the Abolition of Forced Labour Convention, 1957 (</w:t>
      </w:r>
      <w:r w:rsidR="006A4B6C" w:rsidRPr="00C90F9F">
        <w:t>N°</w:t>
      </w:r>
      <w:r w:rsidR="00CC13AC" w:rsidRPr="00C90F9F">
        <w:t>105</w:t>
      </w:r>
      <w:r w:rsidR="00B26071">
        <w:t>) as well as</w:t>
      </w:r>
      <w:r w:rsidR="00CC13AC" w:rsidRPr="00C90F9F">
        <w:t xml:space="preserve"> the Worst Forms of Child Labour Convention, 1999 (No. 182), which covers forced </w:t>
      </w:r>
      <w:r w:rsidR="00B26071">
        <w:t xml:space="preserve">or compulsory </w:t>
      </w:r>
      <w:r w:rsidR="00CC13AC" w:rsidRPr="00C90F9F">
        <w:t xml:space="preserve">labour </w:t>
      </w:r>
      <w:r w:rsidR="00B26071">
        <w:t>and slavery or practices similar to slavery</w:t>
      </w:r>
      <w:r w:rsidR="00B26071" w:rsidRPr="00B26071">
        <w:t xml:space="preserve"> </w:t>
      </w:r>
      <w:r w:rsidR="00CC13AC" w:rsidRPr="00C90F9F">
        <w:t xml:space="preserve">of children </w:t>
      </w:r>
      <w:r w:rsidR="00B26071">
        <w:t>under</w:t>
      </w:r>
      <w:r w:rsidR="00CC13AC" w:rsidRPr="00C90F9F">
        <w:t xml:space="preserve"> 18</w:t>
      </w:r>
      <w:r w:rsidR="00B26071">
        <w:t xml:space="preserve"> years of age</w:t>
      </w:r>
      <w:r w:rsidR="00585382" w:rsidRPr="00C90F9F">
        <w:t>.</w:t>
      </w:r>
      <w:r w:rsidR="00CC13AC" w:rsidRPr="00C90F9F">
        <w:t xml:space="preserve"> In addition to these Conventions, a number of international and regional instruments and initiatives address forced labour, as well as </w:t>
      </w:r>
      <w:r w:rsidR="00F13602" w:rsidRPr="00C90F9F">
        <w:t>trafficking in human beings</w:t>
      </w:r>
      <w:r w:rsidR="00522F6C" w:rsidRPr="00684F0E">
        <w:rPr>
          <w:rStyle w:val="FootnoteReference"/>
          <w:b/>
          <w:i/>
        </w:rPr>
        <w:footnoteReference w:id="17"/>
      </w:r>
      <w:r w:rsidR="00B26071">
        <w:t>,</w:t>
      </w:r>
      <w:r w:rsidR="00F13602" w:rsidRPr="00C90F9F">
        <w:t xml:space="preserve"> </w:t>
      </w:r>
      <w:r w:rsidR="00CC13AC" w:rsidRPr="00C90F9F">
        <w:t>slavery</w:t>
      </w:r>
      <w:r w:rsidR="00B26071">
        <w:t xml:space="preserve"> and</w:t>
      </w:r>
      <w:r w:rsidR="00CC13AC" w:rsidRPr="00C90F9F">
        <w:t xml:space="preserve"> institutions and practices similar to slavery</w:t>
      </w:r>
      <w:r w:rsidR="00CC13AC">
        <w:t>.</w:t>
      </w:r>
    </w:p>
    <w:p w14:paraId="7A63C8A6" w14:textId="77777777" w:rsidR="00CC13AC" w:rsidRDefault="00CC13AC" w:rsidP="00543C7F">
      <w:pPr>
        <w:autoSpaceDE w:val="0"/>
        <w:autoSpaceDN w:val="0"/>
        <w:adjustRightInd w:val="0"/>
        <w:spacing w:before="0" w:after="0"/>
      </w:pPr>
    </w:p>
    <w:p w14:paraId="12E90BFA" w14:textId="5F4ED7AA" w:rsidR="00CC13AC" w:rsidRDefault="00CC13AC" w:rsidP="00CA0A0E">
      <w:pPr>
        <w:autoSpaceDE w:val="0"/>
        <w:autoSpaceDN w:val="0"/>
        <w:adjustRightInd w:val="0"/>
        <w:spacing w:before="0" w:after="0"/>
      </w:pPr>
      <w:r>
        <w:t>The ILO Convention No 29 defines forced labour as “</w:t>
      </w:r>
      <w:r w:rsidRPr="00FA6458">
        <w:rPr>
          <w:i/>
        </w:rPr>
        <w:t>all work or service which is exacted from any person under the menace of any penalty and for which the said person has not offered himself voluntarily</w:t>
      </w:r>
      <w:r>
        <w:t>” (Article 2(1)). “</w:t>
      </w:r>
      <w:r w:rsidRPr="00FA6458">
        <w:rPr>
          <w:i/>
        </w:rPr>
        <w:t>All work or service</w:t>
      </w:r>
      <w:r>
        <w:t>” refers to all types of work, service and employment, in any activity, industry or sector, including in the informal economy. The “</w:t>
      </w:r>
      <w:r w:rsidRPr="00FA6458">
        <w:rPr>
          <w:i/>
        </w:rPr>
        <w:t>menace of any penalty</w:t>
      </w:r>
      <w:r>
        <w:t>” covers a wide range of penalties, including both penal sanctions and various forms of direct or indirect coercion, such as physical violence, psychological threats or the non-payment of wages. A penalty may</w:t>
      </w:r>
      <w:r w:rsidR="00C85EC1">
        <w:t xml:space="preserve"> </w:t>
      </w:r>
      <w:r>
        <w:t>also take the form of a loss of rights or privileges. The terms “</w:t>
      </w:r>
      <w:r w:rsidRPr="00FA6458">
        <w:rPr>
          <w:i/>
        </w:rPr>
        <w:t>offered voluntarily</w:t>
      </w:r>
      <w:r>
        <w:t>” refer to the free and informed consent of workers to enter into an employment relationship and their freedom to leave their employment at any time. This freedom may be denied not only by an act of the authorities, such as a statutory instrument, but also by an employer or recruiter, for example through false promises made in order to induce a worker to take a job which he or she would not otherwise have accepted</w:t>
      </w:r>
      <w:r w:rsidR="00C85EC1">
        <w:rPr>
          <w:rStyle w:val="FootnoteReference"/>
        </w:rPr>
        <w:footnoteReference w:id="18"/>
      </w:r>
      <w:r>
        <w:t>.</w:t>
      </w:r>
    </w:p>
    <w:p w14:paraId="6D207C83" w14:textId="77777777" w:rsidR="00CC13AC" w:rsidRDefault="00CC13AC" w:rsidP="00CA0A0E">
      <w:pPr>
        <w:autoSpaceDE w:val="0"/>
        <w:autoSpaceDN w:val="0"/>
        <w:adjustRightInd w:val="0"/>
        <w:spacing w:before="0" w:after="0"/>
      </w:pPr>
    </w:p>
    <w:p w14:paraId="107F325A" w14:textId="2588DBC8" w:rsidR="00902F89" w:rsidRDefault="00FB2BBF" w:rsidP="00CA0A0E">
      <w:pPr>
        <w:autoSpaceDE w:val="0"/>
        <w:autoSpaceDN w:val="0"/>
        <w:adjustRightInd w:val="0"/>
        <w:spacing w:before="0" w:after="0"/>
      </w:pPr>
      <w:r>
        <w:t>For</w:t>
      </w:r>
      <w:r w:rsidR="00471CAE">
        <w:t xml:space="preserve"> the purpose of this call</w:t>
      </w:r>
      <w:r w:rsidR="00C85EC1">
        <w:t xml:space="preserve">, </w:t>
      </w:r>
      <w:r w:rsidR="00C85EC1" w:rsidRPr="00D55225">
        <w:rPr>
          <w:b/>
        </w:rPr>
        <w:t>actions</w:t>
      </w:r>
      <w:r w:rsidR="00CC13AC" w:rsidRPr="00D55225">
        <w:rPr>
          <w:b/>
        </w:rPr>
        <w:t xml:space="preserve"> must</w:t>
      </w:r>
      <w:r w:rsidR="00471CAE" w:rsidRPr="00D55225">
        <w:rPr>
          <w:b/>
        </w:rPr>
        <w:t xml:space="preserve"> focus on cases of f</w:t>
      </w:r>
      <w:r w:rsidR="00CC13AC" w:rsidRPr="00D55225">
        <w:rPr>
          <w:b/>
        </w:rPr>
        <w:t xml:space="preserve">orced labour in </w:t>
      </w:r>
      <w:r>
        <w:rPr>
          <w:b/>
        </w:rPr>
        <w:t xml:space="preserve">the </w:t>
      </w:r>
      <w:r w:rsidR="00471CAE" w:rsidRPr="00D55225">
        <w:rPr>
          <w:b/>
        </w:rPr>
        <w:t>agriculture</w:t>
      </w:r>
      <w:r>
        <w:rPr>
          <w:b/>
        </w:rPr>
        <w:t xml:space="preserve"> and/or </w:t>
      </w:r>
      <w:r w:rsidR="00471CAE" w:rsidRPr="00D55225">
        <w:rPr>
          <w:b/>
        </w:rPr>
        <w:t>forestry sector</w:t>
      </w:r>
      <w:r w:rsidR="00D55225">
        <w:rPr>
          <w:b/>
        </w:rPr>
        <w:t>s</w:t>
      </w:r>
      <w:r w:rsidR="00092331">
        <w:t xml:space="preserve">, </w:t>
      </w:r>
      <w:r w:rsidR="00585382">
        <w:rPr>
          <w:b/>
        </w:rPr>
        <w:t>as well as on</w:t>
      </w:r>
      <w:r w:rsidR="00092331" w:rsidRPr="00092331">
        <w:rPr>
          <w:b/>
        </w:rPr>
        <w:t xml:space="preserve"> operating at grassroots level, in particular in the most difficult situations and remote areas.</w:t>
      </w:r>
      <w:r w:rsidR="00F11563">
        <w:rPr>
          <w:b/>
        </w:rPr>
        <w:t xml:space="preserve"> </w:t>
      </w:r>
      <w:r w:rsidR="00C221AC">
        <w:t>Th</w:t>
      </w:r>
      <w:r w:rsidR="008C5D5C">
        <w:t>ese</w:t>
      </w:r>
      <w:r w:rsidR="00C221AC">
        <w:t xml:space="preserve"> sector</w:t>
      </w:r>
      <w:r w:rsidR="008C5D5C">
        <w:t>s</w:t>
      </w:r>
      <w:r w:rsidR="00C221AC">
        <w:t xml:space="preserve"> ha</w:t>
      </w:r>
      <w:r w:rsidR="008C5D5C">
        <w:t>ve</w:t>
      </w:r>
      <w:r w:rsidR="00C221AC">
        <w:t xml:space="preserve"> been identified in </w:t>
      </w:r>
      <w:r w:rsidR="00FA6458">
        <w:t>view of</w:t>
      </w:r>
      <w:r w:rsidR="00C221AC">
        <w:t xml:space="preserve"> </w:t>
      </w:r>
      <w:r w:rsidR="008C5D5C">
        <w:t>their</w:t>
      </w:r>
      <w:r w:rsidR="00C221AC">
        <w:t xml:space="preserve"> high record of cases of forced labour affecting </w:t>
      </w:r>
      <w:r w:rsidRPr="00D55225">
        <w:t xml:space="preserve">millions of men, women and children around the world. </w:t>
      </w:r>
      <w:r w:rsidR="00902F89">
        <w:t xml:space="preserve"> Workers in these sectors are often </w:t>
      </w:r>
      <w:r w:rsidR="00902F89" w:rsidRPr="00902F89">
        <w:t xml:space="preserve">low-skilled, </w:t>
      </w:r>
      <w:r w:rsidR="00522F6C">
        <w:t>mobile</w:t>
      </w:r>
      <w:r w:rsidR="00522F6C" w:rsidRPr="00902F89">
        <w:t xml:space="preserve"> </w:t>
      </w:r>
      <w:r w:rsidR="00902F89" w:rsidRPr="00902F89">
        <w:t>and unorgani</w:t>
      </w:r>
      <w:r w:rsidR="00FA6458">
        <w:t>s</w:t>
      </w:r>
      <w:r w:rsidR="00902F89" w:rsidRPr="00902F89">
        <w:t>ed</w:t>
      </w:r>
      <w:r w:rsidR="00FA6458">
        <w:t>,</w:t>
      </w:r>
      <w:r w:rsidR="00902F89">
        <w:t xml:space="preserve"> which make</w:t>
      </w:r>
      <w:r w:rsidR="00FA6458">
        <w:t>s</w:t>
      </w:r>
      <w:r w:rsidR="00902F89">
        <w:t xml:space="preserve"> the</w:t>
      </w:r>
      <w:r w:rsidR="00FA6458">
        <w:t>m</w:t>
      </w:r>
      <w:r w:rsidR="00902F89">
        <w:t xml:space="preserve"> very vulnerable to </w:t>
      </w:r>
      <w:r w:rsidR="008678DA">
        <w:t xml:space="preserve">labour </w:t>
      </w:r>
      <w:r w:rsidR="00902F89">
        <w:t>exploitation and forced labour</w:t>
      </w:r>
      <w:r w:rsidR="00902F89" w:rsidRPr="00902F89">
        <w:t>.</w:t>
      </w:r>
      <w:r w:rsidR="00902F89">
        <w:t xml:space="preserve"> </w:t>
      </w:r>
      <w:r w:rsidR="00522F6C">
        <w:t xml:space="preserve">The 11 </w:t>
      </w:r>
      <w:r w:rsidR="008678DA">
        <w:t xml:space="preserve">indicators of </w:t>
      </w:r>
      <w:r w:rsidR="00F13602" w:rsidRPr="00F13602">
        <w:t xml:space="preserve">forced labour </w:t>
      </w:r>
      <w:r w:rsidR="008678DA">
        <w:t>develop</w:t>
      </w:r>
      <w:r w:rsidR="00522F6C">
        <w:t>ed</w:t>
      </w:r>
      <w:r w:rsidR="008678DA">
        <w:t xml:space="preserve"> by the ILO</w:t>
      </w:r>
      <w:r w:rsidR="008678DA">
        <w:rPr>
          <w:rStyle w:val="FootnoteReference"/>
        </w:rPr>
        <w:footnoteReference w:id="19"/>
      </w:r>
      <w:r w:rsidR="008678DA">
        <w:t xml:space="preserve"> </w:t>
      </w:r>
      <w:r w:rsidR="00522F6C">
        <w:t>include deception, abusive working conditions, excessive overtime, withholding of wages; restriction of movement, debt bondage and retention of identity documents</w:t>
      </w:r>
      <w:r w:rsidR="00F13602" w:rsidRPr="00F13602">
        <w:t>.</w:t>
      </w:r>
      <w:r w:rsidR="00700C06">
        <w:t xml:space="preserve"> </w:t>
      </w:r>
      <w:r w:rsidR="00F37D26">
        <w:t>A</w:t>
      </w:r>
      <w:r w:rsidR="00700C06">
        <w:t>ctions covering</w:t>
      </w:r>
      <w:r w:rsidR="00F37D26">
        <w:t xml:space="preserve"> </w:t>
      </w:r>
      <w:r w:rsidR="00700C06">
        <w:t xml:space="preserve">cases </w:t>
      </w:r>
      <w:r w:rsidR="00E91175">
        <w:t xml:space="preserve">at the frontier between </w:t>
      </w:r>
      <w:r w:rsidR="008678DA">
        <w:t xml:space="preserve">severe </w:t>
      </w:r>
      <w:r w:rsidR="00E91175">
        <w:t xml:space="preserve">exploitation, trafficking in human beings, forced labour </w:t>
      </w:r>
      <w:r w:rsidR="00F37D26">
        <w:t xml:space="preserve">and </w:t>
      </w:r>
      <w:r w:rsidR="00700C06">
        <w:t xml:space="preserve">of </w:t>
      </w:r>
      <w:r w:rsidR="0021315A">
        <w:t>unacceptable forms of work</w:t>
      </w:r>
      <w:r w:rsidR="0021315A">
        <w:rPr>
          <w:rStyle w:val="FootnoteReference"/>
        </w:rPr>
        <w:footnoteReference w:id="20"/>
      </w:r>
      <w:r w:rsidR="00585382">
        <w:t xml:space="preserve"> </w:t>
      </w:r>
      <w:r w:rsidR="00700C06">
        <w:t>in the agriculture and</w:t>
      </w:r>
      <w:r w:rsidR="00CA11F8">
        <w:t>/or</w:t>
      </w:r>
      <w:r w:rsidR="00700C06">
        <w:t xml:space="preserve"> forestry sectors are </w:t>
      </w:r>
      <w:r w:rsidR="00522F6C">
        <w:t xml:space="preserve">therefore </w:t>
      </w:r>
      <w:r w:rsidR="00700C06">
        <w:t>also eligible if duly justified</w:t>
      </w:r>
      <w:r w:rsidR="00F13602">
        <w:t xml:space="preserve"> in the proposal</w:t>
      </w:r>
      <w:r w:rsidR="00700C06">
        <w:t>.</w:t>
      </w:r>
    </w:p>
    <w:p w14:paraId="7FF521DC" w14:textId="77777777" w:rsidR="00902F89" w:rsidRDefault="00902F89" w:rsidP="00CA0A0E">
      <w:pPr>
        <w:autoSpaceDE w:val="0"/>
        <w:autoSpaceDN w:val="0"/>
        <w:adjustRightInd w:val="0"/>
        <w:spacing w:before="0" w:after="0"/>
      </w:pPr>
    </w:p>
    <w:p w14:paraId="5563A6A0" w14:textId="050598D8" w:rsidR="00FB2BBF" w:rsidRPr="00FA6458" w:rsidRDefault="00FB2BBF" w:rsidP="00CA0A0E">
      <w:pPr>
        <w:autoSpaceDE w:val="0"/>
        <w:autoSpaceDN w:val="0"/>
        <w:adjustRightInd w:val="0"/>
        <w:spacing w:before="0" w:after="0"/>
      </w:pPr>
      <w:r w:rsidRPr="00FA6458">
        <w:lastRenderedPageBreak/>
        <w:t>Forced labour often affects the most vulnerable and excluded groups, for example</w:t>
      </w:r>
      <w:r w:rsidR="000215D3" w:rsidRPr="00FA6458">
        <w:t>, minorities,</w:t>
      </w:r>
      <w:r w:rsidR="003F1916">
        <w:t xml:space="preserve"> persons affected by caste-based discrimination</w:t>
      </w:r>
      <w:proofErr w:type="gramStart"/>
      <w:r w:rsidR="003F1916">
        <w:t xml:space="preserve">, </w:t>
      </w:r>
      <w:r w:rsidR="000215D3" w:rsidRPr="00FA6458">
        <w:t xml:space="preserve"> migrants</w:t>
      </w:r>
      <w:proofErr w:type="gramEnd"/>
      <w:r w:rsidR="000215D3" w:rsidRPr="00FA6458">
        <w:t xml:space="preserve">, indigenous peoples, etc. </w:t>
      </w:r>
      <w:r w:rsidR="00790EEE" w:rsidRPr="00FA6458">
        <w:t>Therefore</w:t>
      </w:r>
      <w:r w:rsidR="000215D3" w:rsidRPr="00FA6458">
        <w:t>, particular attention should be paid to these groups</w:t>
      </w:r>
      <w:r w:rsidR="00092331">
        <w:t>.</w:t>
      </w:r>
    </w:p>
    <w:p w14:paraId="59B8C39A" w14:textId="77777777" w:rsidR="00FB2BBF" w:rsidRPr="00543C7F" w:rsidRDefault="00FB2BBF" w:rsidP="00CA0A0E">
      <w:pPr>
        <w:autoSpaceDE w:val="0"/>
        <w:autoSpaceDN w:val="0"/>
        <w:adjustRightInd w:val="0"/>
        <w:spacing w:before="0" w:after="0"/>
      </w:pPr>
    </w:p>
    <w:p w14:paraId="19E77837" w14:textId="3887BEA4" w:rsidR="00CA11F8" w:rsidRDefault="00790EEE" w:rsidP="00C90F9F">
      <w:r w:rsidRPr="00543C7F">
        <w:t xml:space="preserve">More specifically, children under the age of 18 </w:t>
      </w:r>
      <w:r w:rsidR="00700C06">
        <w:t xml:space="preserve">and youth </w:t>
      </w:r>
      <w:r w:rsidRPr="00543C7F">
        <w:t xml:space="preserve">account for </w:t>
      </w:r>
      <w:r w:rsidR="00700C06">
        <w:t xml:space="preserve">a large part of </w:t>
      </w:r>
      <w:r w:rsidRPr="00543C7F">
        <w:t xml:space="preserve">all victims of forced labour and need special protection measures. All actions should take into account the specific vulnerability of children and their best interest. </w:t>
      </w:r>
      <w:r w:rsidR="0036272A">
        <w:t>A</w:t>
      </w:r>
      <w:r w:rsidRPr="00543C7F">
        <w:t>ctions should</w:t>
      </w:r>
      <w:r w:rsidR="0036272A">
        <w:t xml:space="preserve"> have </w:t>
      </w:r>
      <w:r w:rsidR="00F37D26">
        <w:t xml:space="preserve">an </w:t>
      </w:r>
      <w:r w:rsidRPr="00543C7F">
        <w:t xml:space="preserve">integrated </w:t>
      </w:r>
      <w:r w:rsidR="0036272A">
        <w:t xml:space="preserve">and comprehensive </w:t>
      </w:r>
      <w:r w:rsidRPr="00543C7F">
        <w:t xml:space="preserve">approach </w:t>
      </w:r>
      <w:r w:rsidR="0036272A">
        <w:t xml:space="preserve">to children and their environment rather than being </w:t>
      </w:r>
      <w:r w:rsidR="00585382">
        <w:t>issue-</w:t>
      </w:r>
      <w:r w:rsidR="0036272A">
        <w:t>based</w:t>
      </w:r>
      <w:r w:rsidR="0050747A">
        <w:t>.</w:t>
      </w:r>
      <w:r w:rsidR="00522F6C">
        <w:t xml:space="preserve"> They should be </w:t>
      </w:r>
      <w:proofErr w:type="gramStart"/>
      <w:r w:rsidR="00522F6C">
        <w:t>child- and gender-sensitive</w:t>
      </w:r>
      <w:proofErr w:type="gramEnd"/>
      <w:r w:rsidR="00522F6C">
        <w:t>.</w:t>
      </w:r>
    </w:p>
    <w:p w14:paraId="4FC0BFD2" w14:textId="77777777" w:rsidR="000573EE" w:rsidRDefault="000573EE" w:rsidP="00CA0A0E"/>
    <w:p w14:paraId="31F0879A" w14:textId="77777777" w:rsidR="00501074" w:rsidRDefault="00501074" w:rsidP="00CA0A0E">
      <w:r>
        <w:t xml:space="preserve">The </w:t>
      </w:r>
      <w:r w:rsidRPr="00501074">
        <w:rPr>
          <w:b/>
        </w:rPr>
        <w:t>specific objectives</w:t>
      </w:r>
      <w:r>
        <w:t xml:space="preserve"> of Lot 3 are</w:t>
      </w:r>
      <w:r w:rsidR="00CC1091">
        <w:t xml:space="preserve">: </w:t>
      </w:r>
    </w:p>
    <w:p w14:paraId="738EF5EF" w14:textId="622ADCA0" w:rsidR="00CC1091" w:rsidRDefault="00CC1091" w:rsidP="00CA0A0E">
      <w:r>
        <w:t xml:space="preserve">a) to </w:t>
      </w:r>
      <w:r w:rsidRPr="00684F0E">
        <w:rPr>
          <w:b/>
          <w:i/>
        </w:rPr>
        <w:t xml:space="preserve">promote and support the ratification and effective implementation </w:t>
      </w:r>
      <w:r w:rsidR="00B2791A" w:rsidRPr="00684F0E">
        <w:rPr>
          <w:b/>
          <w:i/>
        </w:rPr>
        <w:t>of the</w:t>
      </w:r>
      <w:r w:rsidR="00F13602" w:rsidRPr="00684F0E">
        <w:rPr>
          <w:b/>
          <w:i/>
        </w:rPr>
        <w:t xml:space="preserve"> UN/</w:t>
      </w:r>
      <w:r w:rsidR="00B2791A" w:rsidRPr="00684F0E">
        <w:rPr>
          <w:b/>
          <w:i/>
        </w:rPr>
        <w:t xml:space="preserve"> ILO conventions</w:t>
      </w:r>
      <w:r w:rsidR="00B2791A">
        <w:t xml:space="preserve"> and protocols</w:t>
      </w:r>
      <w:r w:rsidR="00E91175">
        <w:rPr>
          <w:rStyle w:val="FootnoteReference"/>
        </w:rPr>
        <w:footnoteReference w:id="21"/>
      </w:r>
      <w:r w:rsidR="00B2791A">
        <w:t xml:space="preserve"> </w:t>
      </w:r>
      <w:r w:rsidR="00B2791A" w:rsidRPr="00684F0E">
        <w:rPr>
          <w:b/>
        </w:rPr>
        <w:t>related to forced labour</w:t>
      </w:r>
      <w:r w:rsidR="00FA6458">
        <w:t xml:space="preserve"> as well as other</w:t>
      </w:r>
      <w:r w:rsidR="00790EEE">
        <w:t xml:space="preserve"> national or regional </w:t>
      </w:r>
      <w:r w:rsidR="00522F6C">
        <w:t>instruments</w:t>
      </w:r>
      <w:r w:rsidR="00FA6458">
        <w:t>;</w:t>
      </w:r>
      <w:r w:rsidR="00B2791A">
        <w:t xml:space="preserve"> </w:t>
      </w:r>
      <w:r w:rsidR="00851A45" w:rsidRPr="00D95808">
        <w:rPr>
          <w:b/>
        </w:rPr>
        <w:t>and</w:t>
      </w:r>
      <w:r w:rsidR="006915BB">
        <w:rPr>
          <w:b/>
        </w:rPr>
        <w:t>/or</w:t>
      </w:r>
    </w:p>
    <w:p w14:paraId="4E7DCD9B" w14:textId="502CFC65" w:rsidR="00B2791A" w:rsidRDefault="00B5576A" w:rsidP="00CA0A0E">
      <w:r>
        <w:t xml:space="preserve">b) to </w:t>
      </w:r>
      <w:r w:rsidRPr="00684F0E">
        <w:rPr>
          <w:b/>
          <w:i/>
        </w:rPr>
        <w:t>facilitate</w:t>
      </w:r>
      <w:r w:rsidR="00B2791A" w:rsidRPr="00684F0E">
        <w:rPr>
          <w:b/>
          <w:i/>
        </w:rPr>
        <w:t xml:space="preserve"> international and regional cooperation</w:t>
      </w:r>
      <w:r w:rsidR="00B2791A">
        <w:t xml:space="preserve"> </w:t>
      </w:r>
      <w:r w:rsidR="00F11563">
        <w:t>(including judicial</w:t>
      </w:r>
      <w:r w:rsidR="003C75ED">
        <w:t>, police</w:t>
      </w:r>
      <w:r w:rsidR="00F11563">
        <w:t xml:space="preserve"> cooperation</w:t>
      </w:r>
      <w:r w:rsidR="00700E5F">
        <w:t xml:space="preserve">, etc. </w:t>
      </w:r>
      <w:r w:rsidR="00F11563">
        <w:t xml:space="preserve">) </w:t>
      </w:r>
      <w:r w:rsidR="00B2791A">
        <w:t xml:space="preserve">with the view </w:t>
      </w:r>
      <w:r>
        <w:t xml:space="preserve">to prevent and eliminate </w:t>
      </w:r>
      <w:r w:rsidR="00B2791A">
        <w:t xml:space="preserve">forced labour practices </w:t>
      </w:r>
      <w:r w:rsidR="00B2791A" w:rsidRPr="00B2791A">
        <w:t>in the agriculture/forestry sector with</w:t>
      </w:r>
      <w:r w:rsidR="00851A45">
        <w:t xml:space="preserve"> </w:t>
      </w:r>
      <w:r w:rsidR="006915BB">
        <w:t xml:space="preserve">special attention to </w:t>
      </w:r>
      <w:r w:rsidR="00851A45">
        <w:t xml:space="preserve">recruitment practices </w:t>
      </w:r>
      <w:r w:rsidR="006915BB">
        <w:t>and</w:t>
      </w:r>
      <w:r w:rsidR="00E91175">
        <w:t xml:space="preserve"> </w:t>
      </w:r>
      <w:r w:rsidR="006915BB">
        <w:t>supply chains</w:t>
      </w:r>
      <w:r w:rsidR="00FA6458">
        <w:t>;</w:t>
      </w:r>
      <w:r w:rsidR="006915BB">
        <w:t xml:space="preserve"> </w:t>
      </w:r>
      <w:r w:rsidR="00851A45" w:rsidRPr="00D95808">
        <w:rPr>
          <w:b/>
        </w:rPr>
        <w:t>and</w:t>
      </w:r>
      <w:r w:rsidR="006915BB">
        <w:rPr>
          <w:b/>
        </w:rPr>
        <w:t>/or</w:t>
      </w:r>
    </w:p>
    <w:p w14:paraId="4B458FD8" w14:textId="49E65182" w:rsidR="00B2791A" w:rsidRDefault="00B2791A" w:rsidP="00CA0A0E">
      <w:r>
        <w:t xml:space="preserve">c) to </w:t>
      </w:r>
      <w:r w:rsidRPr="00684F0E">
        <w:rPr>
          <w:b/>
          <w:i/>
        </w:rPr>
        <w:t xml:space="preserve">provide </w:t>
      </w:r>
      <w:r w:rsidR="006915BB" w:rsidRPr="00684F0E">
        <w:rPr>
          <w:b/>
          <w:i/>
        </w:rPr>
        <w:t xml:space="preserve">protective and </w:t>
      </w:r>
      <w:r w:rsidRPr="00684F0E">
        <w:rPr>
          <w:b/>
          <w:i/>
        </w:rPr>
        <w:t xml:space="preserve">accompanying measures </w:t>
      </w:r>
      <w:r>
        <w:t>for victims and</w:t>
      </w:r>
      <w:r w:rsidR="00D95808">
        <w:t>/or</w:t>
      </w:r>
      <w:r>
        <w:t xml:space="preserve"> potential victims of forced labour</w:t>
      </w:r>
      <w:r w:rsidR="00471CAE">
        <w:t xml:space="preserve"> and their family</w:t>
      </w:r>
      <w:r w:rsidR="00E91175">
        <w:t xml:space="preserve"> as well as human rights defenders </w:t>
      </w:r>
      <w:r w:rsidRPr="00B2791A">
        <w:t>in the agriculture/forestry sector</w:t>
      </w:r>
      <w:r w:rsidR="00FA6458">
        <w:t>;</w:t>
      </w:r>
      <w:r>
        <w:t xml:space="preserve"> </w:t>
      </w:r>
      <w:r w:rsidR="006915BB" w:rsidRPr="006915BB">
        <w:rPr>
          <w:b/>
        </w:rPr>
        <w:t>and/or</w:t>
      </w:r>
    </w:p>
    <w:p w14:paraId="46AC37D2" w14:textId="53582565" w:rsidR="00D95808" w:rsidRDefault="00B2791A" w:rsidP="00501074">
      <w:r>
        <w:t xml:space="preserve">d)  </w:t>
      </w:r>
      <w:proofErr w:type="gramStart"/>
      <w:r>
        <w:t>to</w:t>
      </w:r>
      <w:proofErr w:type="gramEnd"/>
      <w:r>
        <w:t xml:space="preserve"> </w:t>
      </w:r>
      <w:r w:rsidRPr="00684F0E">
        <w:rPr>
          <w:b/>
          <w:i/>
        </w:rPr>
        <w:t xml:space="preserve">ensure </w:t>
      </w:r>
      <w:r w:rsidR="006915BB" w:rsidRPr="00684F0E">
        <w:rPr>
          <w:b/>
          <w:i/>
        </w:rPr>
        <w:t xml:space="preserve">access to remedy </w:t>
      </w:r>
      <w:r w:rsidRPr="00684F0E">
        <w:rPr>
          <w:b/>
          <w:i/>
        </w:rPr>
        <w:t>for victims</w:t>
      </w:r>
      <w:r w:rsidR="006915BB" w:rsidRPr="00684F0E">
        <w:rPr>
          <w:b/>
          <w:i/>
        </w:rPr>
        <w:t>, accountability and prosecution of</w:t>
      </w:r>
      <w:r w:rsidRPr="00684F0E">
        <w:rPr>
          <w:b/>
          <w:i/>
        </w:rPr>
        <w:t xml:space="preserve"> perpetrators</w:t>
      </w:r>
      <w:r w:rsidR="00684F0E">
        <w:t>;</w:t>
      </w:r>
      <w:r w:rsidRPr="00B2791A">
        <w:t xml:space="preserve"> </w:t>
      </w:r>
      <w:r w:rsidR="00FA6458" w:rsidRPr="006915BB">
        <w:rPr>
          <w:b/>
        </w:rPr>
        <w:t>and/or</w:t>
      </w:r>
    </w:p>
    <w:p w14:paraId="29DF00A0" w14:textId="2FFEFF20" w:rsidR="00C84B8A" w:rsidRDefault="00C84B8A" w:rsidP="00501074">
      <w:r>
        <w:t>e) t</w:t>
      </w:r>
      <w:r w:rsidR="003C75ED">
        <w:t xml:space="preserve">o </w:t>
      </w:r>
      <w:r w:rsidR="006E3AEB">
        <w:rPr>
          <w:b/>
          <w:i/>
        </w:rPr>
        <w:t>support</w:t>
      </w:r>
      <w:r w:rsidR="006E3AEB" w:rsidRPr="006E3AEB">
        <w:rPr>
          <w:b/>
          <w:i/>
        </w:rPr>
        <w:t xml:space="preserve"> </w:t>
      </w:r>
      <w:r w:rsidR="006E3AEB" w:rsidRPr="00684F0E">
        <w:rPr>
          <w:b/>
          <w:i/>
        </w:rPr>
        <w:t>measures</w:t>
      </w:r>
      <w:r w:rsidR="006E3AEB" w:rsidRPr="00E91175">
        <w:t xml:space="preserve"> </w:t>
      </w:r>
      <w:r w:rsidR="006E3AEB">
        <w:t>preventing</w:t>
      </w:r>
      <w:r w:rsidR="006E3AEB" w:rsidRPr="00E91175">
        <w:t xml:space="preserve"> forced labour</w:t>
      </w:r>
      <w:r w:rsidR="006E3AEB">
        <w:t xml:space="preserve"> and to</w:t>
      </w:r>
      <w:r w:rsidR="003C75ED">
        <w:t xml:space="preserve"> </w:t>
      </w:r>
      <w:r w:rsidR="003C75ED" w:rsidRPr="00684F0E">
        <w:rPr>
          <w:b/>
          <w:i/>
        </w:rPr>
        <w:t xml:space="preserve">address the systemic and structural </w:t>
      </w:r>
      <w:r w:rsidR="006E3AEB">
        <w:rPr>
          <w:b/>
          <w:i/>
        </w:rPr>
        <w:t xml:space="preserve">vulnerability to </w:t>
      </w:r>
      <w:r w:rsidR="003C75ED" w:rsidRPr="00684F0E">
        <w:rPr>
          <w:b/>
          <w:i/>
        </w:rPr>
        <w:t>forced labour</w:t>
      </w:r>
      <w:r w:rsidR="003C75ED" w:rsidRPr="00684F0E">
        <w:rPr>
          <w:i/>
        </w:rPr>
        <w:t xml:space="preserve"> </w:t>
      </w:r>
      <w:r w:rsidR="006E3AEB" w:rsidRPr="00C90F9F">
        <w:t>and severe labour abuses</w:t>
      </w:r>
      <w:r w:rsidR="006E3AEB">
        <w:rPr>
          <w:i/>
        </w:rPr>
        <w:t xml:space="preserve"> </w:t>
      </w:r>
      <w:r w:rsidR="00E91175">
        <w:t>of agriculture/forestry</w:t>
      </w:r>
      <w:r w:rsidR="00B158D0">
        <w:t xml:space="preserve"> </w:t>
      </w:r>
      <w:r w:rsidR="006E3AEB">
        <w:t xml:space="preserve">related in particular to its labour intensity and </w:t>
      </w:r>
      <w:r w:rsidR="00B158D0">
        <w:t xml:space="preserve">seasonal </w:t>
      </w:r>
      <w:r w:rsidR="006E3AEB">
        <w:t xml:space="preserve">character </w:t>
      </w:r>
      <w:r w:rsidR="00FA6458">
        <w:t xml:space="preserve">; </w:t>
      </w:r>
      <w:r w:rsidR="00FA6458" w:rsidRPr="006915BB">
        <w:rPr>
          <w:b/>
        </w:rPr>
        <w:t>and/or</w:t>
      </w:r>
      <w:r w:rsidR="003C75ED">
        <w:t xml:space="preserve"> </w:t>
      </w:r>
    </w:p>
    <w:p w14:paraId="6AFAB050" w14:textId="648E36C7" w:rsidR="00700E5F" w:rsidRPr="00684F0E" w:rsidRDefault="00700E5F" w:rsidP="00501074">
      <w:pPr>
        <w:rPr>
          <w:b/>
          <w:i/>
        </w:rPr>
      </w:pPr>
      <w:r>
        <w:t xml:space="preserve">f) </w:t>
      </w:r>
      <w:proofErr w:type="gramStart"/>
      <w:r>
        <w:t>to</w:t>
      </w:r>
      <w:proofErr w:type="gramEnd"/>
      <w:r>
        <w:t xml:space="preserve"> support</w:t>
      </w:r>
      <w:r w:rsidRPr="00700E5F">
        <w:t xml:space="preserve"> </w:t>
      </w:r>
      <w:r w:rsidRPr="00684F0E">
        <w:rPr>
          <w:b/>
          <w:i/>
        </w:rPr>
        <w:t xml:space="preserve">due diligence by the private and public sectors to respond to the risk of forced labour </w:t>
      </w:r>
      <w:r w:rsidRPr="00C90F9F">
        <w:t xml:space="preserve">and </w:t>
      </w:r>
      <w:r w:rsidR="00540F65" w:rsidRPr="00C90F9F">
        <w:t>identify, prevent, mitigate and account for how they address their adverse impacts in this field</w:t>
      </w:r>
      <w:r w:rsidRPr="00C90F9F">
        <w:t>.</w:t>
      </w:r>
    </w:p>
    <w:p w14:paraId="39E66FD4" w14:textId="7A8AF7D3" w:rsidR="00684F0E" w:rsidRDefault="00092331" w:rsidP="00501074">
      <w:pPr>
        <w:rPr>
          <w:u w:val="single"/>
        </w:rPr>
      </w:pPr>
      <w:r w:rsidRPr="00092331">
        <w:t>For the purpose of this call, actions should focus on at least one of the speci</w:t>
      </w:r>
      <w:r>
        <w:t>fic objectives mentioned above.</w:t>
      </w:r>
    </w:p>
    <w:p w14:paraId="39DBF4A5" w14:textId="01526940" w:rsidR="00777617" w:rsidRPr="00FA6458" w:rsidRDefault="00684F0E" w:rsidP="00501074">
      <w:pPr>
        <w:rPr>
          <w:u w:val="single"/>
        </w:rPr>
      </w:pPr>
      <w:r>
        <w:rPr>
          <w:u w:val="single"/>
        </w:rPr>
        <w:t>I</w:t>
      </w:r>
      <w:r w:rsidR="00501074" w:rsidRPr="00FA6458">
        <w:rPr>
          <w:u w:val="single"/>
        </w:rPr>
        <w:t>ndicative and non-exhaustive list of activities</w:t>
      </w:r>
      <w:r w:rsidR="00B158D0">
        <w:rPr>
          <w:u w:val="single"/>
        </w:rPr>
        <w:t xml:space="preserve"> </w:t>
      </w:r>
      <w:r w:rsidR="00184AA4">
        <w:rPr>
          <w:u w:val="single"/>
        </w:rPr>
        <w:t>related</w:t>
      </w:r>
      <w:r w:rsidR="00B158D0">
        <w:rPr>
          <w:u w:val="single"/>
        </w:rPr>
        <w:t xml:space="preserve"> to forced labour in the agriculture/forestry </w:t>
      </w:r>
      <w:r w:rsidR="00184AA4">
        <w:rPr>
          <w:u w:val="single"/>
        </w:rPr>
        <w:t>sectors</w:t>
      </w:r>
      <w:r w:rsidR="00184AA4" w:rsidRPr="00FA6458">
        <w:rPr>
          <w:u w:val="single"/>
        </w:rPr>
        <w:t xml:space="preserve"> for</w:t>
      </w:r>
      <w:r w:rsidR="00501074" w:rsidRPr="00FA6458">
        <w:rPr>
          <w:u w:val="single"/>
        </w:rPr>
        <w:t xml:space="preserve"> Lot 3:</w:t>
      </w:r>
    </w:p>
    <w:p w14:paraId="46451E01" w14:textId="2BE8C141" w:rsidR="008733D9" w:rsidRPr="00FA6458" w:rsidRDefault="008733D9" w:rsidP="00FA6458">
      <w:pPr>
        <w:numPr>
          <w:ilvl w:val="0"/>
          <w:numId w:val="43"/>
        </w:numPr>
        <w:spacing w:before="0" w:after="0"/>
        <w:rPr>
          <w:szCs w:val="22"/>
        </w:rPr>
      </w:pPr>
      <w:r w:rsidRPr="00FA6458">
        <w:rPr>
          <w:szCs w:val="22"/>
        </w:rPr>
        <w:t xml:space="preserve">Promoting the international and regional framework on forced labour through educational, information and/or awareness-raising programmes on the ILO fundamental Convention </w:t>
      </w:r>
      <w:r w:rsidR="007F7DFD" w:rsidRPr="00FA6458">
        <w:rPr>
          <w:szCs w:val="22"/>
        </w:rPr>
        <w:t xml:space="preserve">No </w:t>
      </w:r>
      <w:r w:rsidRPr="00FA6458">
        <w:rPr>
          <w:szCs w:val="22"/>
        </w:rPr>
        <w:t xml:space="preserve">29 </w:t>
      </w:r>
      <w:r w:rsidR="00FA6458" w:rsidRPr="00FA6458">
        <w:rPr>
          <w:szCs w:val="22"/>
        </w:rPr>
        <w:t>and its</w:t>
      </w:r>
      <w:r w:rsidRPr="00FA6458">
        <w:rPr>
          <w:szCs w:val="22"/>
        </w:rPr>
        <w:t xml:space="preserve"> related </w:t>
      </w:r>
      <w:r w:rsidR="00540F65">
        <w:rPr>
          <w:szCs w:val="22"/>
        </w:rPr>
        <w:t>P</w:t>
      </w:r>
      <w:r w:rsidRPr="00FA6458">
        <w:rPr>
          <w:szCs w:val="22"/>
        </w:rPr>
        <w:t>rotocol of 2014</w:t>
      </w:r>
      <w:r w:rsidR="00540F65">
        <w:rPr>
          <w:szCs w:val="22"/>
        </w:rPr>
        <w:t>, t</w:t>
      </w:r>
      <w:r w:rsidRPr="00FA6458">
        <w:rPr>
          <w:szCs w:val="22"/>
        </w:rPr>
        <w:t xml:space="preserve">he Abolition of Forced Labour </w:t>
      </w:r>
      <w:r w:rsidR="00540F65">
        <w:rPr>
          <w:szCs w:val="22"/>
        </w:rPr>
        <w:t xml:space="preserve">Convention </w:t>
      </w:r>
      <w:r w:rsidR="007F7DFD" w:rsidRPr="00FA6458">
        <w:rPr>
          <w:szCs w:val="22"/>
        </w:rPr>
        <w:t xml:space="preserve">No </w:t>
      </w:r>
      <w:r w:rsidRPr="00FA6458">
        <w:rPr>
          <w:szCs w:val="22"/>
        </w:rPr>
        <w:t>105</w:t>
      </w:r>
      <w:r w:rsidR="00585382">
        <w:rPr>
          <w:szCs w:val="22"/>
        </w:rPr>
        <w:t xml:space="preserve"> </w:t>
      </w:r>
      <w:r w:rsidRPr="00FA6458">
        <w:rPr>
          <w:szCs w:val="22"/>
        </w:rPr>
        <w:t>and other relevant international and/or regional human rights instruments, in view of their adoption, ratification</w:t>
      </w:r>
      <w:r w:rsidR="00567491">
        <w:rPr>
          <w:szCs w:val="22"/>
        </w:rPr>
        <w:t xml:space="preserve"> and </w:t>
      </w:r>
      <w:r w:rsidRPr="00FA6458">
        <w:rPr>
          <w:szCs w:val="22"/>
        </w:rPr>
        <w:t xml:space="preserve"> effective implementation; </w:t>
      </w:r>
    </w:p>
    <w:p w14:paraId="649CF1D0" w14:textId="7A311408" w:rsidR="00D95808" w:rsidRPr="00FA6458" w:rsidRDefault="000D0FA1" w:rsidP="00FA6458">
      <w:pPr>
        <w:numPr>
          <w:ilvl w:val="0"/>
          <w:numId w:val="43"/>
        </w:numPr>
        <w:spacing w:before="0" w:after="0"/>
        <w:rPr>
          <w:szCs w:val="22"/>
        </w:rPr>
      </w:pPr>
      <w:r w:rsidRPr="00FA6458">
        <w:rPr>
          <w:szCs w:val="22"/>
        </w:rPr>
        <w:t>Protecting those individuals acting in challenging environments denouncing practices of forced labour</w:t>
      </w:r>
      <w:r w:rsidR="00700E5F" w:rsidRPr="00FA6458">
        <w:rPr>
          <w:szCs w:val="22"/>
        </w:rPr>
        <w:t xml:space="preserve"> </w:t>
      </w:r>
      <w:r w:rsidRPr="00FA6458">
        <w:rPr>
          <w:szCs w:val="22"/>
        </w:rPr>
        <w:t>ensuring their safety and further subsistence and that of their organisations</w:t>
      </w:r>
      <w:r w:rsidR="00471CAE" w:rsidRPr="00FA6458">
        <w:rPr>
          <w:szCs w:val="22"/>
        </w:rPr>
        <w:t xml:space="preserve"> and families</w:t>
      </w:r>
      <w:r w:rsidRPr="00FA6458">
        <w:rPr>
          <w:szCs w:val="22"/>
        </w:rPr>
        <w:t>;</w:t>
      </w:r>
    </w:p>
    <w:p w14:paraId="276ABC83" w14:textId="77777777" w:rsidR="00266832" w:rsidRPr="00FA6458" w:rsidRDefault="00266832" w:rsidP="00266832">
      <w:pPr>
        <w:numPr>
          <w:ilvl w:val="0"/>
          <w:numId w:val="43"/>
        </w:numPr>
        <w:spacing w:before="0" w:after="0"/>
        <w:rPr>
          <w:szCs w:val="22"/>
        </w:rPr>
      </w:pPr>
      <w:r w:rsidRPr="00FA6458">
        <w:rPr>
          <w:szCs w:val="22"/>
        </w:rPr>
        <w:t>Identification of forced labour victims and referral of victims to protection services</w:t>
      </w:r>
      <w:r>
        <w:rPr>
          <w:szCs w:val="22"/>
        </w:rPr>
        <w:t>;</w:t>
      </w:r>
    </w:p>
    <w:p w14:paraId="73F5B684" w14:textId="3EF7F2CF" w:rsidR="000D0FA1" w:rsidRPr="00FA6458" w:rsidRDefault="000D0FA1" w:rsidP="00FA6458">
      <w:pPr>
        <w:numPr>
          <w:ilvl w:val="0"/>
          <w:numId w:val="43"/>
        </w:numPr>
        <w:spacing w:before="0" w:after="0"/>
        <w:rPr>
          <w:szCs w:val="22"/>
        </w:rPr>
      </w:pPr>
      <w:r w:rsidRPr="00FA6458">
        <w:rPr>
          <w:szCs w:val="22"/>
        </w:rPr>
        <w:t xml:space="preserve">Providing </w:t>
      </w:r>
      <w:r w:rsidR="004C739A" w:rsidRPr="00FA6458">
        <w:rPr>
          <w:szCs w:val="22"/>
        </w:rPr>
        <w:t xml:space="preserve">protection and </w:t>
      </w:r>
      <w:r w:rsidRPr="00FA6458">
        <w:rPr>
          <w:szCs w:val="22"/>
        </w:rPr>
        <w:t xml:space="preserve">accompanying measures to victims and/or </w:t>
      </w:r>
      <w:r w:rsidR="00266832">
        <w:rPr>
          <w:szCs w:val="22"/>
        </w:rPr>
        <w:t>potential</w:t>
      </w:r>
      <w:r w:rsidRPr="00FA6458">
        <w:rPr>
          <w:szCs w:val="22"/>
        </w:rPr>
        <w:t xml:space="preserve"> victims of forced labour, including </w:t>
      </w:r>
      <w:r w:rsidR="00D63090" w:rsidRPr="00FA6458">
        <w:rPr>
          <w:szCs w:val="22"/>
        </w:rPr>
        <w:t xml:space="preserve">adequate security and privacy measures,  </w:t>
      </w:r>
      <w:r w:rsidR="004C739A" w:rsidRPr="00FA6458">
        <w:rPr>
          <w:szCs w:val="22"/>
        </w:rPr>
        <w:t xml:space="preserve">effective remedies such as compensation irrespective of their presence or legal status in the territory, </w:t>
      </w:r>
      <w:r w:rsidRPr="00FA6458">
        <w:rPr>
          <w:szCs w:val="22"/>
        </w:rPr>
        <w:t>legal assistance, interpretation</w:t>
      </w:r>
      <w:r w:rsidR="004C739A" w:rsidRPr="00FA6458">
        <w:rPr>
          <w:szCs w:val="22"/>
        </w:rPr>
        <w:t xml:space="preserve"> facilities</w:t>
      </w:r>
      <w:r w:rsidRPr="00FA6458">
        <w:rPr>
          <w:szCs w:val="22"/>
        </w:rPr>
        <w:t xml:space="preserve">, </w:t>
      </w:r>
      <w:r w:rsidRPr="00FA6458">
        <w:rPr>
          <w:szCs w:val="22"/>
        </w:rPr>
        <w:lastRenderedPageBreak/>
        <w:t>training of basic skills, income generating activities, hotlines for victims, safe place for passports and belongings,</w:t>
      </w:r>
      <w:r w:rsidR="00CA0A0E" w:rsidRPr="00FA6458">
        <w:rPr>
          <w:szCs w:val="22"/>
        </w:rPr>
        <w:t xml:space="preserve"> </w:t>
      </w:r>
      <w:r w:rsidRPr="00FA6458">
        <w:rPr>
          <w:szCs w:val="22"/>
        </w:rPr>
        <w:t>access to education</w:t>
      </w:r>
      <w:r w:rsidR="00D63090" w:rsidRPr="00FA6458">
        <w:rPr>
          <w:szCs w:val="22"/>
        </w:rPr>
        <w:t xml:space="preserve"> and </w:t>
      </w:r>
      <w:r w:rsidR="00483024" w:rsidRPr="00FA6458">
        <w:rPr>
          <w:szCs w:val="22"/>
        </w:rPr>
        <w:t>to</w:t>
      </w:r>
      <w:r w:rsidR="0085619C" w:rsidRPr="00FA6458">
        <w:rPr>
          <w:szCs w:val="22"/>
        </w:rPr>
        <w:t xml:space="preserve"> jobs</w:t>
      </w:r>
      <w:r w:rsidR="00D63090" w:rsidRPr="00FA6458">
        <w:rPr>
          <w:szCs w:val="22"/>
        </w:rPr>
        <w:t>, access to medical and psychological support</w:t>
      </w:r>
      <w:r w:rsidR="00585382">
        <w:rPr>
          <w:szCs w:val="22"/>
        </w:rPr>
        <w:t>,</w:t>
      </w:r>
      <w:r w:rsidR="00D63090" w:rsidRPr="00FA6458">
        <w:rPr>
          <w:szCs w:val="22"/>
        </w:rPr>
        <w:t xml:space="preserve"> </w:t>
      </w:r>
      <w:r w:rsidRPr="00FA6458">
        <w:rPr>
          <w:szCs w:val="22"/>
        </w:rPr>
        <w:t>etc.;</w:t>
      </w:r>
    </w:p>
    <w:p w14:paraId="7408A9EA" w14:textId="1B4AA76B" w:rsidR="00266832" w:rsidRPr="00FA6458" w:rsidRDefault="00266832" w:rsidP="00266832">
      <w:pPr>
        <w:numPr>
          <w:ilvl w:val="0"/>
          <w:numId w:val="43"/>
        </w:numPr>
        <w:spacing w:before="0" w:after="0"/>
        <w:rPr>
          <w:szCs w:val="22"/>
        </w:rPr>
      </w:pPr>
      <w:r w:rsidRPr="00FA6458">
        <w:rPr>
          <w:szCs w:val="22"/>
        </w:rPr>
        <w:t>Providing protection services to keep victims and witnesses and their family safe (e.g. example before during and after trials)</w:t>
      </w:r>
      <w:r>
        <w:rPr>
          <w:szCs w:val="22"/>
        </w:rPr>
        <w:t>;</w:t>
      </w:r>
      <w:r w:rsidRPr="00FA6458">
        <w:rPr>
          <w:szCs w:val="22"/>
        </w:rPr>
        <w:t xml:space="preserve"> </w:t>
      </w:r>
    </w:p>
    <w:p w14:paraId="3467CCC1" w14:textId="5D65E6FA" w:rsidR="002A0F92" w:rsidRPr="00FA6458" w:rsidRDefault="004C739A" w:rsidP="00FA6458">
      <w:pPr>
        <w:numPr>
          <w:ilvl w:val="0"/>
          <w:numId w:val="43"/>
        </w:numPr>
        <w:spacing w:before="0" w:after="0"/>
        <w:rPr>
          <w:szCs w:val="22"/>
        </w:rPr>
      </w:pPr>
      <w:r w:rsidRPr="00FA6458">
        <w:rPr>
          <w:szCs w:val="22"/>
        </w:rPr>
        <w:t xml:space="preserve">Educating and informing those considered particularly vulnerable, employers and the wider public </w:t>
      </w:r>
      <w:r w:rsidR="002A0F92" w:rsidRPr="00FA6458">
        <w:rPr>
          <w:szCs w:val="22"/>
        </w:rPr>
        <w:t>about</w:t>
      </w:r>
      <w:r w:rsidRPr="00FA6458">
        <w:rPr>
          <w:szCs w:val="22"/>
        </w:rPr>
        <w:t xml:space="preserve"> </w:t>
      </w:r>
      <w:r w:rsidR="002A0F92" w:rsidRPr="00FA6458">
        <w:rPr>
          <w:szCs w:val="22"/>
        </w:rPr>
        <w:t>forced labour</w:t>
      </w:r>
      <w:r w:rsidR="00D63090" w:rsidRPr="00FA6458">
        <w:rPr>
          <w:szCs w:val="22"/>
        </w:rPr>
        <w:t xml:space="preserve">; </w:t>
      </w:r>
    </w:p>
    <w:p w14:paraId="0D26EA0C" w14:textId="77777777" w:rsidR="000D0FA1" w:rsidRPr="00FA6458" w:rsidRDefault="002A0F92" w:rsidP="00FA6458">
      <w:pPr>
        <w:numPr>
          <w:ilvl w:val="0"/>
          <w:numId w:val="43"/>
        </w:numPr>
        <w:spacing w:before="0" w:after="0"/>
        <w:rPr>
          <w:szCs w:val="22"/>
        </w:rPr>
      </w:pPr>
      <w:r w:rsidRPr="00FA6458">
        <w:rPr>
          <w:szCs w:val="22"/>
        </w:rPr>
        <w:t>Enhancing the understanding among key actors of how to strengthen regulatory and enforcement mechanisms designed to address abusive and fraudulent recruitment practices;</w:t>
      </w:r>
    </w:p>
    <w:p w14:paraId="28ED9159" w14:textId="23D5F663" w:rsidR="004C739A" w:rsidRPr="00FA6458" w:rsidRDefault="004C739A" w:rsidP="00FA6458">
      <w:pPr>
        <w:numPr>
          <w:ilvl w:val="0"/>
          <w:numId w:val="43"/>
        </w:numPr>
        <w:spacing w:before="0" w:after="0"/>
        <w:rPr>
          <w:szCs w:val="22"/>
        </w:rPr>
      </w:pPr>
      <w:r w:rsidRPr="00FA6458">
        <w:rPr>
          <w:szCs w:val="22"/>
        </w:rPr>
        <w:t>Protection from abuses arising during the recruitment process</w:t>
      </w:r>
      <w:r w:rsidR="00266832">
        <w:rPr>
          <w:szCs w:val="22"/>
        </w:rPr>
        <w:t>;</w:t>
      </w:r>
    </w:p>
    <w:p w14:paraId="3CEDC5A5" w14:textId="6259EA83" w:rsidR="004C739A" w:rsidRPr="00FA6458" w:rsidRDefault="004C739A" w:rsidP="00FA6458">
      <w:pPr>
        <w:numPr>
          <w:ilvl w:val="0"/>
          <w:numId w:val="43"/>
        </w:numPr>
        <w:spacing w:before="0" w:after="0"/>
        <w:rPr>
          <w:szCs w:val="22"/>
        </w:rPr>
      </w:pPr>
      <w:r w:rsidRPr="00FA6458">
        <w:rPr>
          <w:szCs w:val="22"/>
        </w:rPr>
        <w:t>Promoting due diligence by the public and private sectors</w:t>
      </w:r>
      <w:r w:rsidR="00266832">
        <w:rPr>
          <w:szCs w:val="22"/>
        </w:rPr>
        <w:t>;</w:t>
      </w:r>
    </w:p>
    <w:p w14:paraId="08C41B45" w14:textId="79DFA71C" w:rsidR="004C739A" w:rsidRPr="00FA6458" w:rsidRDefault="004C739A" w:rsidP="00FA6458">
      <w:pPr>
        <w:numPr>
          <w:ilvl w:val="0"/>
          <w:numId w:val="43"/>
        </w:numPr>
        <w:spacing w:before="0" w:after="0"/>
        <w:rPr>
          <w:szCs w:val="22"/>
        </w:rPr>
      </w:pPr>
      <w:r w:rsidRPr="00FA6458">
        <w:rPr>
          <w:szCs w:val="22"/>
        </w:rPr>
        <w:t>Addressing root causes and factors that heighten the risks of forced labour</w:t>
      </w:r>
      <w:r w:rsidR="00B158D0">
        <w:rPr>
          <w:szCs w:val="22"/>
        </w:rPr>
        <w:t xml:space="preserve"> (</w:t>
      </w:r>
      <w:r w:rsidR="00540F65">
        <w:rPr>
          <w:szCs w:val="22"/>
        </w:rPr>
        <w:t xml:space="preserve">electronic wage payment systems, </w:t>
      </w:r>
      <w:r w:rsidR="00B158D0">
        <w:rPr>
          <w:szCs w:val="22"/>
        </w:rPr>
        <w:t>access to credit, social protection, income generating activities, vocational trainings, etc.)</w:t>
      </w:r>
      <w:r w:rsidRPr="00FA6458">
        <w:rPr>
          <w:szCs w:val="22"/>
        </w:rPr>
        <w:t xml:space="preserve"> </w:t>
      </w:r>
    </w:p>
    <w:p w14:paraId="6AC054DE" w14:textId="77777777" w:rsidR="00F56045" w:rsidRDefault="00B5576A" w:rsidP="00FA6458">
      <w:pPr>
        <w:numPr>
          <w:ilvl w:val="0"/>
          <w:numId w:val="43"/>
        </w:numPr>
        <w:spacing w:before="0" w:after="0"/>
        <w:rPr>
          <w:szCs w:val="22"/>
        </w:rPr>
      </w:pPr>
      <w:r w:rsidRPr="00FA6458">
        <w:rPr>
          <w:szCs w:val="22"/>
        </w:rPr>
        <w:t>Ensuring cooperation between and among States to prevent and eliminate forced labour.</w:t>
      </w:r>
    </w:p>
    <w:p w14:paraId="7B9A3657" w14:textId="1E19EB33" w:rsidR="00B158D0" w:rsidRDefault="00B158D0" w:rsidP="00C62E98">
      <w:pPr>
        <w:numPr>
          <w:ilvl w:val="0"/>
          <w:numId w:val="43"/>
        </w:numPr>
        <w:spacing w:before="0" w:after="0"/>
        <w:rPr>
          <w:szCs w:val="22"/>
        </w:rPr>
      </w:pPr>
      <w:r>
        <w:rPr>
          <w:szCs w:val="22"/>
        </w:rPr>
        <w:t xml:space="preserve">Protection </w:t>
      </w:r>
      <w:r w:rsidR="006318C6">
        <w:rPr>
          <w:szCs w:val="22"/>
        </w:rPr>
        <w:t xml:space="preserve">from forced labour and </w:t>
      </w:r>
      <w:r w:rsidR="00C62E98" w:rsidRPr="00C62E98">
        <w:rPr>
          <w:szCs w:val="22"/>
        </w:rPr>
        <w:t xml:space="preserve">unacceptable forms of work </w:t>
      </w:r>
      <w:r w:rsidR="006318C6">
        <w:rPr>
          <w:szCs w:val="22"/>
        </w:rPr>
        <w:t>(</w:t>
      </w:r>
      <w:r w:rsidR="00C62E98" w:rsidRPr="00C62E98">
        <w:rPr>
          <w:szCs w:val="22"/>
        </w:rPr>
        <w:t xml:space="preserve">such as </w:t>
      </w:r>
      <w:r w:rsidR="00540F65">
        <w:rPr>
          <w:szCs w:val="22"/>
        </w:rPr>
        <w:t xml:space="preserve">very </w:t>
      </w:r>
      <w:r w:rsidR="00C62E98" w:rsidRPr="00C62E98">
        <w:rPr>
          <w:szCs w:val="22"/>
        </w:rPr>
        <w:t xml:space="preserve">low </w:t>
      </w:r>
      <w:r w:rsidR="00540F65">
        <w:rPr>
          <w:szCs w:val="22"/>
        </w:rPr>
        <w:t>or withholding of</w:t>
      </w:r>
      <w:r w:rsidR="00C62E98" w:rsidRPr="00C62E98">
        <w:rPr>
          <w:szCs w:val="22"/>
        </w:rPr>
        <w:t xml:space="preserve"> wages, </w:t>
      </w:r>
      <w:r w:rsidR="00540F65">
        <w:rPr>
          <w:szCs w:val="22"/>
        </w:rPr>
        <w:t>excessive</w:t>
      </w:r>
      <w:r w:rsidR="00540F65" w:rsidRPr="00C62E98">
        <w:rPr>
          <w:szCs w:val="22"/>
        </w:rPr>
        <w:t xml:space="preserve"> </w:t>
      </w:r>
      <w:r w:rsidR="00C62E98" w:rsidRPr="00C62E98">
        <w:rPr>
          <w:szCs w:val="22"/>
        </w:rPr>
        <w:t>h</w:t>
      </w:r>
      <w:r w:rsidR="00C62E98">
        <w:rPr>
          <w:szCs w:val="22"/>
        </w:rPr>
        <w:t>ours (over 17 hours per day), l</w:t>
      </w:r>
      <w:r w:rsidR="00C62E98" w:rsidRPr="00C62E98">
        <w:rPr>
          <w:szCs w:val="22"/>
        </w:rPr>
        <w:t xml:space="preserve">ack </w:t>
      </w:r>
      <w:r w:rsidR="00C62E98">
        <w:rPr>
          <w:szCs w:val="22"/>
        </w:rPr>
        <w:t xml:space="preserve">of written employment contracts, </w:t>
      </w:r>
      <w:r w:rsidR="00540F65">
        <w:rPr>
          <w:szCs w:val="22"/>
        </w:rPr>
        <w:t xml:space="preserve">dire </w:t>
      </w:r>
      <w:r w:rsidR="00C62E98" w:rsidRPr="00C62E98">
        <w:rPr>
          <w:szCs w:val="22"/>
        </w:rPr>
        <w:t>occupational safety and health conditions</w:t>
      </w:r>
      <w:r w:rsidR="00C62E98">
        <w:rPr>
          <w:szCs w:val="22"/>
        </w:rPr>
        <w:t xml:space="preserve">) </w:t>
      </w:r>
      <w:r>
        <w:rPr>
          <w:szCs w:val="22"/>
        </w:rPr>
        <w:t>in all segments of the supply chain in particular in the lower tiers.</w:t>
      </w:r>
    </w:p>
    <w:p w14:paraId="260DA3B7" w14:textId="77777777" w:rsidR="00585382" w:rsidRDefault="005F7F54" w:rsidP="006A4B6C">
      <w:pPr>
        <w:numPr>
          <w:ilvl w:val="0"/>
          <w:numId w:val="43"/>
        </w:numPr>
        <w:spacing w:before="0" w:after="0"/>
        <w:rPr>
          <w:szCs w:val="22"/>
        </w:rPr>
      </w:pPr>
      <w:r>
        <w:rPr>
          <w:szCs w:val="22"/>
        </w:rPr>
        <w:t>Ensuring</w:t>
      </w:r>
      <w:r w:rsidR="00E66E62" w:rsidRPr="00E66E62">
        <w:rPr>
          <w:szCs w:val="22"/>
        </w:rPr>
        <w:t xml:space="preserve"> access to remedy for victims, accountability and prosecution of perpetrators. These </w:t>
      </w:r>
      <w:r w:rsidR="00585382">
        <w:rPr>
          <w:szCs w:val="22"/>
        </w:rPr>
        <w:t xml:space="preserve">may </w:t>
      </w:r>
      <w:r w:rsidR="00E66E62" w:rsidRPr="00E66E62">
        <w:rPr>
          <w:szCs w:val="22"/>
        </w:rPr>
        <w:t>include provision of direct legal support to the victims and their families; support to local lawyers and organisations assisting them; case work; training sessions for lawyers, prosecutors, judges, border guards to increase their skills in dealing with forced labour cases;</w:t>
      </w:r>
    </w:p>
    <w:p w14:paraId="022B22C0" w14:textId="744E6E8E" w:rsidR="006A4B6C" w:rsidRPr="00FA6458" w:rsidRDefault="006A4B6C" w:rsidP="006A4B6C">
      <w:pPr>
        <w:numPr>
          <w:ilvl w:val="0"/>
          <w:numId w:val="43"/>
        </w:numPr>
        <w:spacing w:before="0" w:after="0"/>
        <w:rPr>
          <w:szCs w:val="22"/>
        </w:rPr>
      </w:pPr>
      <w:r>
        <w:rPr>
          <w:szCs w:val="22"/>
        </w:rPr>
        <w:t xml:space="preserve">Supporting </w:t>
      </w:r>
      <w:r w:rsidRPr="006A4B6C">
        <w:rPr>
          <w:szCs w:val="22"/>
        </w:rPr>
        <w:t>the attainmen</w:t>
      </w:r>
      <w:r w:rsidR="00BC2CCD">
        <w:rPr>
          <w:szCs w:val="22"/>
        </w:rPr>
        <w:t xml:space="preserve">t of decent work and strengthen </w:t>
      </w:r>
      <w:r w:rsidRPr="006A4B6C">
        <w:rPr>
          <w:szCs w:val="22"/>
        </w:rPr>
        <w:t>compliance with fundamental principles</w:t>
      </w:r>
      <w:r>
        <w:rPr>
          <w:szCs w:val="22"/>
        </w:rPr>
        <w:t xml:space="preserve"> </w:t>
      </w:r>
      <w:r w:rsidRPr="006A4B6C">
        <w:rPr>
          <w:szCs w:val="22"/>
        </w:rPr>
        <w:t>and rights at work in global supply chains</w:t>
      </w:r>
      <w:r w:rsidR="003C3E36">
        <w:rPr>
          <w:szCs w:val="22"/>
        </w:rPr>
        <w:t xml:space="preserve"> through </w:t>
      </w:r>
      <w:r w:rsidR="00BC2CCD">
        <w:rPr>
          <w:szCs w:val="22"/>
        </w:rPr>
        <w:t xml:space="preserve">for example </w:t>
      </w:r>
      <w:r w:rsidR="00056DDD">
        <w:rPr>
          <w:szCs w:val="22"/>
        </w:rPr>
        <w:t xml:space="preserve">exchanges of experience and </w:t>
      </w:r>
      <w:r w:rsidR="003C3E36">
        <w:rPr>
          <w:szCs w:val="22"/>
        </w:rPr>
        <w:t>promotion of</w:t>
      </w:r>
      <w:r w:rsidR="00056DDD">
        <w:rPr>
          <w:szCs w:val="22"/>
        </w:rPr>
        <w:t xml:space="preserve"> learning and policy coherence amongst stakeholders</w:t>
      </w:r>
      <w:r w:rsidRPr="006A4B6C">
        <w:rPr>
          <w:szCs w:val="22"/>
        </w:rPr>
        <w:t xml:space="preserve">.  </w:t>
      </w:r>
    </w:p>
    <w:p w14:paraId="10203265" w14:textId="77777777" w:rsidR="00471CAE" w:rsidRDefault="00471CAE" w:rsidP="00543C7F">
      <w:pPr>
        <w:ind w:left="720"/>
      </w:pPr>
    </w:p>
    <w:p w14:paraId="19F59AE4" w14:textId="77777777" w:rsidR="00304CCF" w:rsidRDefault="00304CC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501074" w:rsidRPr="00A91CBA" w14:paraId="4CBA69C1" w14:textId="77777777" w:rsidTr="00501074">
        <w:tc>
          <w:tcPr>
            <w:tcW w:w="9570" w:type="dxa"/>
          </w:tcPr>
          <w:p w14:paraId="2B468DCB" w14:textId="7848BFDE" w:rsidR="00501074" w:rsidRPr="00A91CBA" w:rsidRDefault="00501074" w:rsidP="00501074">
            <w:pPr>
              <w:rPr>
                <w:rFonts w:ascii="Times New Roman Bold" w:hAnsi="Times New Roman Bold"/>
                <w:b/>
                <w:smallCaps/>
              </w:rPr>
            </w:pPr>
            <w:r w:rsidRPr="00A91CBA">
              <w:rPr>
                <w:rFonts w:ascii="Times New Roman Bold" w:hAnsi="Times New Roman Bold"/>
                <w:b/>
                <w:smallCaps/>
              </w:rPr>
              <w:t xml:space="preserve">LOT 4: </w:t>
            </w:r>
            <w:r w:rsidRPr="00501074">
              <w:rPr>
                <w:rFonts w:ascii="Times New Roman Bold" w:hAnsi="Times New Roman Bold"/>
                <w:b/>
                <w:smallCaps/>
              </w:rPr>
              <w:t>Promoting and supporting the rights of persons with disabilities.</w:t>
            </w:r>
          </w:p>
        </w:tc>
      </w:tr>
    </w:tbl>
    <w:p w14:paraId="43645008" w14:textId="24DAB8AD" w:rsidR="00304AAE" w:rsidRPr="000313D3" w:rsidRDefault="00304AAE" w:rsidP="00304AAE">
      <w:pPr>
        <w:rPr>
          <w:bCs/>
          <w:iCs/>
          <w:szCs w:val="22"/>
        </w:rPr>
      </w:pPr>
      <w:r w:rsidRPr="000313D3">
        <w:rPr>
          <w:szCs w:val="22"/>
        </w:rPr>
        <w:t xml:space="preserve">Representing 15% of the world’s total population, persons with disabilities </w:t>
      </w:r>
      <w:r w:rsidRPr="000313D3">
        <w:rPr>
          <w:bCs/>
          <w:iCs/>
          <w:szCs w:val="22"/>
        </w:rPr>
        <w:t>face multiple barriers and discrimination in their lives and communities, leading to poverty, persistent inequalities in terms of socio-economic outcomes as well as political participation</w:t>
      </w:r>
      <w:r w:rsidRPr="000313D3">
        <w:rPr>
          <w:bCs/>
          <w:iCs/>
          <w:szCs w:val="22"/>
          <w:vertAlign w:val="superscript"/>
        </w:rPr>
        <w:footnoteReference w:id="22"/>
      </w:r>
      <w:r w:rsidR="00585382">
        <w:rPr>
          <w:bCs/>
          <w:iCs/>
          <w:szCs w:val="22"/>
        </w:rPr>
        <w:t>.</w:t>
      </w:r>
    </w:p>
    <w:p w14:paraId="7A5F1852" w14:textId="75EB7F97" w:rsidR="00304AAE" w:rsidRPr="000313D3" w:rsidRDefault="00304AAE" w:rsidP="00304AAE">
      <w:pPr>
        <w:pStyle w:val="FootnoteText"/>
        <w:ind w:left="0" w:firstLine="0"/>
        <w:rPr>
          <w:sz w:val="22"/>
          <w:szCs w:val="22"/>
        </w:rPr>
      </w:pPr>
      <w:r w:rsidRPr="00411C17">
        <w:rPr>
          <w:bCs/>
          <w:iCs/>
          <w:sz w:val="22"/>
          <w:szCs w:val="22"/>
        </w:rPr>
        <w:t xml:space="preserve">The UN Convention on the Rights of Persons with Disabilities </w:t>
      </w:r>
      <w:r>
        <w:rPr>
          <w:bCs/>
          <w:iCs/>
          <w:sz w:val="22"/>
          <w:szCs w:val="22"/>
        </w:rPr>
        <w:t xml:space="preserve">(CRPD) and its Optional Protocol </w:t>
      </w:r>
      <w:r w:rsidRPr="00411C17">
        <w:rPr>
          <w:bCs/>
          <w:iCs/>
          <w:sz w:val="22"/>
          <w:szCs w:val="22"/>
        </w:rPr>
        <w:t xml:space="preserve">were adopted by the UN General Assembly in 2006 and entered into force on 3 May 2008. </w:t>
      </w:r>
      <w:r w:rsidRPr="000313D3">
        <w:rPr>
          <w:sz w:val="22"/>
          <w:szCs w:val="22"/>
        </w:rPr>
        <w:t>Today, it counts with173 ratifications</w:t>
      </w:r>
      <w:r w:rsidR="00585382">
        <w:rPr>
          <w:sz w:val="22"/>
          <w:szCs w:val="22"/>
        </w:rPr>
        <w:t xml:space="preserve">, </w:t>
      </w:r>
      <w:r w:rsidRPr="000313D3">
        <w:rPr>
          <w:sz w:val="22"/>
          <w:szCs w:val="22"/>
        </w:rPr>
        <w:t xml:space="preserve">including by the </w:t>
      </w:r>
      <w:r>
        <w:rPr>
          <w:sz w:val="22"/>
          <w:szCs w:val="22"/>
        </w:rPr>
        <w:t>European Union as a regional integration organisation</w:t>
      </w:r>
      <w:r w:rsidRPr="000313D3">
        <w:rPr>
          <w:sz w:val="22"/>
          <w:szCs w:val="22"/>
        </w:rPr>
        <w:t xml:space="preserve">. </w:t>
      </w:r>
    </w:p>
    <w:p w14:paraId="2D3504B1" w14:textId="77777777" w:rsidR="00304AAE" w:rsidRDefault="00304AAE" w:rsidP="00304AAE">
      <w:pPr>
        <w:pStyle w:val="FootnoteText"/>
        <w:ind w:left="0" w:firstLine="0"/>
        <w:rPr>
          <w:bCs/>
          <w:iCs/>
          <w:sz w:val="22"/>
          <w:szCs w:val="22"/>
        </w:rPr>
      </w:pPr>
      <w:r w:rsidRPr="00411C17">
        <w:rPr>
          <w:bCs/>
          <w:iCs/>
          <w:sz w:val="22"/>
          <w:szCs w:val="22"/>
        </w:rPr>
        <w:t xml:space="preserve">The Convention sets out the obligations of states to </w:t>
      </w:r>
      <w:proofErr w:type="gramStart"/>
      <w:r w:rsidRPr="00411C17">
        <w:rPr>
          <w:bCs/>
          <w:iCs/>
          <w:sz w:val="22"/>
          <w:szCs w:val="22"/>
        </w:rPr>
        <w:t>promote,</w:t>
      </w:r>
      <w:proofErr w:type="gramEnd"/>
      <w:r w:rsidRPr="00411C17">
        <w:rPr>
          <w:bCs/>
          <w:iCs/>
          <w:sz w:val="22"/>
          <w:szCs w:val="22"/>
        </w:rPr>
        <w:t xml:space="preserve"> protect and ensure the full and equal enjoyment of </w:t>
      </w:r>
      <w:r w:rsidRPr="000313D3">
        <w:rPr>
          <w:bCs/>
          <w:iCs/>
          <w:sz w:val="22"/>
          <w:szCs w:val="22"/>
          <w:u w:val="single"/>
        </w:rPr>
        <w:t>all human rights by all persons with disabilities</w:t>
      </w:r>
      <w:r w:rsidRPr="000313D3">
        <w:rPr>
          <w:bCs/>
          <w:iCs/>
          <w:sz w:val="22"/>
          <w:szCs w:val="22"/>
        </w:rPr>
        <w:t xml:space="preserve">. It covers all internationally recognised civil, political social, economic and cultural rights. </w:t>
      </w:r>
    </w:p>
    <w:p w14:paraId="6601BA5D" w14:textId="00982AB7" w:rsidR="00304AAE" w:rsidRPr="00411C17" w:rsidRDefault="00304AAE" w:rsidP="00304AAE">
      <w:pPr>
        <w:pStyle w:val="FootnoteText"/>
        <w:ind w:left="0" w:firstLine="0"/>
        <w:rPr>
          <w:bCs/>
          <w:iCs/>
          <w:sz w:val="22"/>
          <w:szCs w:val="22"/>
        </w:rPr>
      </w:pPr>
      <w:r w:rsidRPr="000313D3">
        <w:rPr>
          <w:bCs/>
          <w:iCs/>
          <w:sz w:val="22"/>
          <w:szCs w:val="22"/>
        </w:rPr>
        <w:t xml:space="preserve">The Convention represents a </w:t>
      </w:r>
      <w:r w:rsidRPr="007E3581">
        <w:rPr>
          <w:b/>
          <w:bCs/>
          <w:iCs/>
          <w:sz w:val="22"/>
          <w:szCs w:val="22"/>
        </w:rPr>
        <w:t>paradigm shift in the treatment of persons with disabilities from a medical or charity perspective to a rights-based approach</w:t>
      </w:r>
      <w:r w:rsidRPr="000E3504">
        <w:rPr>
          <w:bCs/>
          <w:iCs/>
          <w:sz w:val="22"/>
          <w:szCs w:val="22"/>
        </w:rPr>
        <w:t xml:space="preserve">, </w:t>
      </w:r>
      <w:r w:rsidRPr="00411C17">
        <w:rPr>
          <w:bCs/>
          <w:iCs/>
          <w:sz w:val="22"/>
          <w:szCs w:val="22"/>
        </w:rPr>
        <w:t xml:space="preserve">ensuring that persons with disabilities have access </w:t>
      </w:r>
      <w:r w:rsidR="00585382">
        <w:rPr>
          <w:bCs/>
          <w:iCs/>
          <w:sz w:val="22"/>
          <w:szCs w:val="22"/>
        </w:rPr>
        <w:t xml:space="preserve">to </w:t>
      </w:r>
      <w:r w:rsidRPr="00411C17">
        <w:rPr>
          <w:bCs/>
          <w:iCs/>
          <w:sz w:val="22"/>
          <w:szCs w:val="22"/>
        </w:rPr>
        <w:t xml:space="preserve">and can participate in decisions that affect their lives and seek redress for violations of their rights. </w:t>
      </w:r>
    </w:p>
    <w:p w14:paraId="6B57673C" w14:textId="77777777" w:rsidR="00304AAE" w:rsidRPr="00DF62A7" w:rsidRDefault="00304AAE" w:rsidP="00304AAE">
      <w:pPr>
        <w:rPr>
          <w:szCs w:val="22"/>
        </w:rPr>
      </w:pPr>
      <w:r w:rsidRPr="00B20BAC">
        <w:rPr>
          <w:szCs w:val="22"/>
        </w:rPr>
        <w:t xml:space="preserve">The </w:t>
      </w:r>
      <w:r w:rsidRPr="00B20BAC">
        <w:rPr>
          <w:b/>
          <w:szCs w:val="22"/>
        </w:rPr>
        <w:t>general objective of Lot 4</w:t>
      </w:r>
      <w:r w:rsidRPr="00B20BAC">
        <w:rPr>
          <w:szCs w:val="22"/>
        </w:rPr>
        <w:t xml:space="preserve"> is to promote the full and equal enjoyment of all human rights and fundamental freedoms by all persons with disabilities, and to promote respect for their inherent dignity.</w:t>
      </w:r>
    </w:p>
    <w:p w14:paraId="132066C1" w14:textId="668AAD47" w:rsidR="00304AAE" w:rsidRDefault="00304AAE" w:rsidP="00304AAE">
      <w:pPr>
        <w:pStyle w:val="FootnoteText"/>
        <w:ind w:left="0" w:firstLine="0"/>
        <w:rPr>
          <w:szCs w:val="22"/>
        </w:rPr>
      </w:pPr>
      <w:r w:rsidRPr="007E3581">
        <w:rPr>
          <w:sz w:val="22"/>
          <w:szCs w:val="22"/>
        </w:rPr>
        <w:t>This general objective is fully in line with article 32 'International cooperation' of the CR</w:t>
      </w:r>
      <w:r>
        <w:rPr>
          <w:sz w:val="22"/>
          <w:szCs w:val="22"/>
        </w:rPr>
        <w:t>PD</w:t>
      </w:r>
      <w:r w:rsidRPr="007E3581">
        <w:rPr>
          <w:sz w:val="22"/>
          <w:szCs w:val="22"/>
        </w:rPr>
        <w:t>, which commits parties</w:t>
      </w:r>
      <w:r>
        <w:rPr>
          <w:sz w:val="22"/>
          <w:szCs w:val="22"/>
        </w:rPr>
        <w:t xml:space="preserve"> </w:t>
      </w:r>
      <w:r w:rsidRPr="007E3581">
        <w:rPr>
          <w:sz w:val="22"/>
          <w:szCs w:val="22"/>
        </w:rPr>
        <w:t xml:space="preserve">to support national efforts for the </w:t>
      </w:r>
      <w:r w:rsidR="00585382" w:rsidRPr="007E3581">
        <w:rPr>
          <w:sz w:val="22"/>
          <w:szCs w:val="22"/>
        </w:rPr>
        <w:t>reali</w:t>
      </w:r>
      <w:r w:rsidR="00585382">
        <w:rPr>
          <w:sz w:val="22"/>
          <w:szCs w:val="22"/>
        </w:rPr>
        <w:t>s</w:t>
      </w:r>
      <w:r w:rsidR="00585382" w:rsidRPr="007E3581">
        <w:rPr>
          <w:sz w:val="22"/>
          <w:szCs w:val="22"/>
        </w:rPr>
        <w:t xml:space="preserve">ation </w:t>
      </w:r>
      <w:r w:rsidRPr="007E3581">
        <w:rPr>
          <w:sz w:val="22"/>
          <w:szCs w:val="22"/>
        </w:rPr>
        <w:t>of the purposes and objectives of the Convention</w:t>
      </w:r>
      <w:r>
        <w:rPr>
          <w:sz w:val="22"/>
          <w:szCs w:val="22"/>
        </w:rPr>
        <w:t xml:space="preserve"> –including making a real move towards realising the paradigm shift proposed by the CRPD.</w:t>
      </w:r>
    </w:p>
    <w:p w14:paraId="5D12BAA0" w14:textId="77777777" w:rsidR="00304AAE" w:rsidRPr="00B20BAC" w:rsidRDefault="00304AAE" w:rsidP="00304AAE">
      <w:pPr>
        <w:pStyle w:val="FootnoteText"/>
        <w:ind w:left="0" w:firstLine="0"/>
        <w:rPr>
          <w:szCs w:val="22"/>
        </w:rPr>
      </w:pPr>
      <w:r w:rsidRPr="000313D3">
        <w:rPr>
          <w:sz w:val="22"/>
          <w:szCs w:val="22"/>
        </w:rPr>
        <w:t xml:space="preserve">It is also consistent with the 2030 Agenda for Sustainable Development which is underpinned </w:t>
      </w:r>
      <w:r>
        <w:rPr>
          <w:sz w:val="22"/>
          <w:szCs w:val="22"/>
        </w:rPr>
        <w:t>by a commitment to 'l</w:t>
      </w:r>
      <w:r w:rsidRPr="000313D3">
        <w:rPr>
          <w:sz w:val="22"/>
          <w:szCs w:val="22"/>
        </w:rPr>
        <w:t xml:space="preserve">eave no one behind' and which makes explicit reference to the </w:t>
      </w:r>
      <w:r>
        <w:rPr>
          <w:sz w:val="22"/>
          <w:szCs w:val="22"/>
        </w:rPr>
        <w:t>imperative</w:t>
      </w:r>
      <w:r w:rsidRPr="000313D3">
        <w:rPr>
          <w:sz w:val="22"/>
          <w:szCs w:val="22"/>
        </w:rPr>
        <w:t xml:space="preserve"> to reach persons with disabilities. </w:t>
      </w:r>
    </w:p>
    <w:p w14:paraId="328E7507" w14:textId="77777777" w:rsidR="00304AAE" w:rsidRPr="00B20BAC" w:rsidRDefault="00304AAE" w:rsidP="00304AAE">
      <w:pPr>
        <w:pStyle w:val="FootnoteText"/>
        <w:ind w:left="0" w:firstLine="0"/>
        <w:rPr>
          <w:szCs w:val="22"/>
        </w:rPr>
      </w:pPr>
      <w:r w:rsidRPr="007E3581">
        <w:rPr>
          <w:sz w:val="22"/>
          <w:szCs w:val="22"/>
        </w:rPr>
        <w:t>For the purpose of this call for proposals, persons with disabilities include those who have long-term physical, intellectual or sensory impairments, which, in interaction with various barriers, may hinder their full and effective participation in society on an equal basis with others, in line with Article 1(2) of the UN Convention on the Rights of Persons with Disabilities (CRPD).</w:t>
      </w:r>
    </w:p>
    <w:p w14:paraId="6FED042A" w14:textId="39ACA504" w:rsidR="00497A54" w:rsidRPr="00497A54" w:rsidRDefault="00497A54" w:rsidP="00497A54">
      <w:r w:rsidRPr="00497A54">
        <w:t xml:space="preserve">The </w:t>
      </w:r>
      <w:r w:rsidRPr="00497A54">
        <w:rPr>
          <w:b/>
        </w:rPr>
        <w:t>specific objectives</w:t>
      </w:r>
      <w:r w:rsidRPr="00497A54">
        <w:t xml:space="preserve"> </w:t>
      </w:r>
      <w:r w:rsidRPr="00266832">
        <w:rPr>
          <w:b/>
        </w:rPr>
        <w:t>of Lot 4</w:t>
      </w:r>
      <w:r w:rsidRPr="00497A54">
        <w:t xml:space="preserve"> are</w:t>
      </w:r>
      <w:r w:rsidR="00304CCF">
        <w:t>:</w:t>
      </w:r>
    </w:p>
    <w:p w14:paraId="72C5A7A1" w14:textId="74A9F1D1" w:rsidR="00497A54" w:rsidRPr="00497A54" w:rsidRDefault="00497A54" w:rsidP="00266832">
      <w:pPr>
        <w:numPr>
          <w:ilvl w:val="0"/>
          <w:numId w:val="57"/>
        </w:numPr>
      </w:pPr>
      <w:r w:rsidRPr="00497A54">
        <w:t xml:space="preserve">to </w:t>
      </w:r>
      <w:r w:rsidRPr="00684F0E">
        <w:rPr>
          <w:b/>
          <w:i/>
        </w:rPr>
        <w:t>promote and support the ratification, effective implementation and monitoring</w:t>
      </w:r>
      <w:r w:rsidRPr="00684F0E">
        <w:rPr>
          <w:i/>
        </w:rPr>
        <w:t xml:space="preserve"> </w:t>
      </w:r>
      <w:r w:rsidRPr="00497A54">
        <w:t>of the UN Convention on the Rights of Persons with Disabilities (CRPD) and its Optional Protocol</w:t>
      </w:r>
      <w:r w:rsidR="00304CCF">
        <w:t xml:space="preserve">, </w:t>
      </w:r>
      <w:r w:rsidR="00304CCF" w:rsidRPr="00585382">
        <w:rPr>
          <w:b/>
        </w:rPr>
        <w:t>and</w:t>
      </w:r>
    </w:p>
    <w:p w14:paraId="23BCCCBE" w14:textId="322899EA" w:rsidR="00497A54" w:rsidRPr="00497A54" w:rsidRDefault="00497A54" w:rsidP="00266832">
      <w:pPr>
        <w:numPr>
          <w:ilvl w:val="0"/>
          <w:numId w:val="57"/>
        </w:numPr>
      </w:pPr>
      <w:r w:rsidRPr="00497A54">
        <w:t xml:space="preserve">to </w:t>
      </w:r>
      <w:r w:rsidRPr="00684F0E">
        <w:rPr>
          <w:b/>
          <w:i/>
        </w:rPr>
        <w:t xml:space="preserve">foster partnerships between </w:t>
      </w:r>
      <w:r w:rsidR="00304CCF" w:rsidRPr="00684F0E">
        <w:rPr>
          <w:b/>
          <w:i/>
        </w:rPr>
        <w:t xml:space="preserve">human rights civil society organisations </w:t>
      </w:r>
      <w:r w:rsidR="00304AAE" w:rsidRPr="00684F0E">
        <w:rPr>
          <w:b/>
          <w:i/>
        </w:rPr>
        <w:t>and</w:t>
      </w:r>
      <w:r w:rsidR="00304CCF" w:rsidRPr="00684F0E">
        <w:rPr>
          <w:b/>
          <w:i/>
        </w:rPr>
        <w:t xml:space="preserve"> disabled peoples' organisations </w:t>
      </w:r>
      <w:r w:rsidR="00304AAE" w:rsidRPr="00684F0E">
        <w:rPr>
          <w:b/>
          <w:i/>
        </w:rPr>
        <w:t>(DPOs)</w:t>
      </w:r>
      <w:r w:rsidR="00684F0E" w:rsidRPr="00684F0E">
        <w:rPr>
          <w:b/>
          <w:i/>
        </w:rPr>
        <w:t xml:space="preserve"> </w:t>
      </w:r>
      <w:r w:rsidRPr="00684F0E">
        <w:rPr>
          <w:b/>
          <w:i/>
        </w:rPr>
        <w:t>and/or civil society organisations</w:t>
      </w:r>
      <w:r w:rsidRPr="00684F0E">
        <w:rPr>
          <w:b/>
        </w:rPr>
        <w:t xml:space="preserve"> </w:t>
      </w:r>
      <w:r w:rsidRPr="00684F0E">
        <w:rPr>
          <w:b/>
          <w:i/>
        </w:rPr>
        <w:t>working for persons with disabilities</w:t>
      </w:r>
      <w:r w:rsidRPr="00497A54">
        <w:t xml:space="preserve"> in order to integrate disability within </w:t>
      </w:r>
      <w:r w:rsidR="003351FF">
        <w:t xml:space="preserve">their </w:t>
      </w:r>
      <w:r w:rsidRPr="00497A54">
        <w:t>wider human rights work.</w:t>
      </w:r>
    </w:p>
    <w:p w14:paraId="1D07553D" w14:textId="77777777" w:rsidR="00497A54" w:rsidRPr="00684F0E" w:rsidRDefault="00497A54" w:rsidP="00497A54">
      <w:pPr>
        <w:rPr>
          <w:b/>
          <w:u w:val="single"/>
        </w:rPr>
      </w:pPr>
      <w:r w:rsidRPr="00684F0E">
        <w:rPr>
          <w:b/>
          <w:u w:val="single"/>
        </w:rPr>
        <w:t>Both specific objectives need to be covered.</w:t>
      </w:r>
    </w:p>
    <w:p w14:paraId="5C5C7D60" w14:textId="6A1DB0C2" w:rsidR="00304AAE" w:rsidRPr="005667B2" w:rsidRDefault="00497A54" w:rsidP="0071733C">
      <w:pPr>
        <w:spacing w:before="0" w:after="0"/>
        <w:rPr>
          <w:szCs w:val="22"/>
        </w:rPr>
      </w:pPr>
      <w:r w:rsidRPr="0071733C">
        <w:t>I</w:t>
      </w:r>
      <w:r w:rsidRPr="0071733C">
        <w:rPr>
          <w:szCs w:val="22"/>
        </w:rPr>
        <w:t>ndicative and non-exhaustive list of activities for Lot 4</w:t>
      </w:r>
      <w:r w:rsidR="00585382" w:rsidRPr="00585382">
        <w:rPr>
          <w:szCs w:val="22"/>
        </w:rPr>
        <w:t>, t</w:t>
      </w:r>
      <w:r w:rsidR="00304AAE" w:rsidRPr="00585382">
        <w:rPr>
          <w:szCs w:val="22"/>
        </w:rPr>
        <w:t>hrough partnerships between human rights civil society organisations and disabled peoples' organisations (DPOs) and/or civil society organisations:</w:t>
      </w:r>
    </w:p>
    <w:p w14:paraId="53554AC9" w14:textId="6342B3A6" w:rsidR="00497A54" w:rsidRDefault="00497A54" w:rsidP="0071733C">
      <w:pPr>
        <w:numPr>
          <w:ilvl w:val="0"/>
          <w:numId w:val="43"/>
        </w:numPr>
        <w:spacing w:before="0" w:after="0"/>
        <w:rPr>
          <w:szCs w:val="22"/>
        </w:rPr>
      </w:pPr>
      <w:r w:rsidRPr="00266832">
        <w:rPr>
          <w:szCs w:val="22"/>
        </w:rPr>
        <w:t xml:space="preserve">Ensuring protection against all forms of discrimination on the basis of disability (e.g. law reform, awareness raising and empowerment, victim support services, filing complaints, access to justice, effective remedies, training for judges, and data collection) for all - including those that are harder to </w:t>
      </w:r>
      <w:r w:rsidRPr="00266832">
        <w:rPr>
          <w:szCs w:val="22"/>
        </w:rPr>
        <w:lastRenderedPageBreak/>
        <w:t>reach (e.g. those suffering from multiple discrimination, those from the most marginalised impairment groups and those living in remote/rural areas)</w:t>
      </w:r>
      <w:r w:rsidR="003351FF" w:rsidRPr="00266832">
        <w:rPr>
          <w:szCs w:val="22"/>
        </w:rPr>
        <w:t>;</w:t>
      </w:r>
    </w:p>
    <w:p w14:paraId="4F32B438" w14:textId="7FD56C3D" w:rsidR="00304AAE" w:rsidRPr="005667B2" w:rsidRDefault="00304AAE" w:rsidP="0071733C">
      <w:pPr>
        <w:numPr>
          <w:ilvl w:val="0"/>
          <w:numId w:val="43"/>
        </w:numPr>
        <w:spacing w:before="0" w:after="0"/>
        <w:rPr>
          <w:szCs w:val="22"/>
        </w:rPr>
      </w:pPr>
      <w:r w:rsidRPr="00585382">
        <w:rPr>
          <w:szCs w:val="22"/>
        </w:rPr>
        <w:t xml:space="preserve">Supporting collaboration between civil society organisations and public institutions for the improvement of services to persons with </w:t>
      </w:r>
      <w:r w:rsidRPr="005667B2">
        <w:rPr>
          <w:szCs w:val="22"/>
        </w:rPr>
        <w:t>disabilities and their families in line with the CRPD.</w:t>
      </w:r>
    </w:p>
    <w:p w14:paraId="0A22E893" w14:textId="53482258" w:rsidR="00497A54" w:rsidRPr="00266832" w:rsidRDefault="00497A54" w:rsidP="00266832">
      <w:pPr>
        <w:numPr>
          <w:ilvl w:val="0"/>
          <w:numId w:val="43"/>
        </w:numPr>
        <w:spacing w:before="0" w:after="0"/>
        <w:rPr>
          <w:szCs w:val="22"/>
        </w:rPr>
      </w:pPr>
      <w:r w:rsidRPr="00266832">
        <w:rPr>
          <w:szCs w:val="22"/>
        </w:rPr>
        <w:t>Advocacy and support for the design of law and public policies and services that protect the human rights of persons with disabilities –</w:t>
      </w:r>
      <w:r w:rsidR="003351FF" w:rsidRPr="00266832">
        <w:rPr>
          <w:szCs w:val="22"/>
        </w:rPr>
        <w:t xml:space="preserve"> </w:t>
      </w:r>
      <w:r w:rsidRPr="00266832">
        <w:rPr>
          <w:szCs w:val="22"/>
        </w:rPr>
        <w:t>including advancing the implementation of specific articles of the CPRD (e.g. right to access to justice, to education, to healthcare, to live independently, etc</w:t>
      </w:r>
      <w:r w:rsidR="003351FF" w:rsidRPr="00266832">
        <w:rPr>
          <w:szCs w:val="22"/>
        </w:rPr>
        <w:t>.);</w:t>
      </w:r>
    </w:p>
    <w:p w14:paraId="784103ED" w14:textId="4A0A0719" w:rsidR="00497A54" w:rsidRPr="00266832" w:rsidRDefault="00497A54" w:rsidP="00266832">
      <w:pPr>
        <w:numPr>
          <w:ilvl w:val="0"/>
          <w:numId w:val="43"/>
        </w:numPr>
        <w:spacing w:before="0" w:after="0"/>
        <w:rPr>
          <w:szCs w:val="22"/>
        </w:rPr>
      </w:pPr>
      <w:r w:rsidRPr="00266832">
        <w:rPr>
          <w:szCs w:val="22"/>
        </w:rPr>
        <w:t xml:space="preserve">Improving the capacities of </w:t>
      </w:r>
      <w:r w:rsidR="003351FF" w:rsidRPr="00266832">
        <w:rPr>
          <w:szCs w:val="22"/>
        </w:rPr>
        <w:t xml:space="preserve">disabled peoples' organisations </w:t>
      </w:r>
      <w:r w:rsidRPr="00266832">
        <w:rPr>
          <w:szCs w:val="22"/>
        </w:rPr>
        <w:t>to advocate for their rights, participate in decision-making processes and monitor the implementation of the CRPD and of the Sustainable Development Goals</w:t>
      </w:r>
      <w:r w:rsidR="003351FF" w:rsidRPr="00266832">
        <w:rPr>
          <w:szCs w:val="22"/>
        </w:rPr>
        <w:t xml:space="preserve">; </w:t>
      </w:r>
    </w:p>
    <w:p w14:paraId="71408199" w14:textId="7DBF20C5" w:rsidR="00497A54" w:rsidRPr="00266832" w:rsidRDefault="00497A54" w:rsidP="00266832">
      <w:pPr>
        <w:numPr>
          <w:ilvl w:val="0"/>
          <w:numId w:val="43"/>
        </w:numPr>
        <w:spacing w:before="0" w:after="0"/>
        <w:rPr>
          <w:szCs w:val="22"/>
        </w:rPr>
      </w:pPr>
      <w:r w:rsidRPr="00266832">
        <w:rPr>
          <w:szCs w:val="22"/>
        </w:rPr>
        <w:t>Supporting and strengthening the functioning of the mechanisms to promote, protect and monitor the CRPD pursuant to its article 33.2 including their set up in partner countries</w:t>
      </w:r>
      <w:r w:rsidR="003351FF" w:rsidRPr="00266832">
        <w:rPr>
          <w:szCs w:val="22"/>
        </w:rPr>
        <w:t>;</w:t>
      </w:r>
    </w:p>
    <w:p w14:paraId="52B8B701" w14:textId="711C7D25" w:rsidR="00497A54" w:rsidRPr="00266832" w:rsidRDefault="00497A54" w:rsidP="00304AAE">
      <w:pPr>
        <w:numPr>
          <w:ilvl w:val="0"/>
          <w:numId w:val="43"/>
        </w:numPr>
        <w:spacing w:before="0" w:after="0"/>
        <w:rPr>
          <w:szCs w:val="22"/>
        </w:rPr>
      </w:pPr>
      <w:r w:rsidRPr="00266832">
        <w:rPr>
          <w:szCs w:val="22"/>
        </w:rPr>
        <w:t xml:space="preserve">Awareness-raising campaigns to foster respect for the rights and dignity of persons with disabilities; to combat stereotypes, prejudices and harmful practices relating to persons with disabilities, including those based on sex and age, in all areas of life; and to promote awareness of the capabilities and contributions of persons with disabilities. These may include strengthening the capacity of local media to deliver positive messages, training with public and private sector, etc. with involvement of </w:t>
      </w:r>
      <w:r w:rsidR="00304AAE" w:rsidRPr="00304AAE">
        <w:rPr>
          <w:szCs w:val="22"/>
        </w:rPr>
        <w:t>disabled people's organisations</w:t>
      </w:r>
      <w:r w:rsidR="00304AAE">
        <w:rPr>
          <w:szCs w:val="22"/>
        </w:rPr>
        <w:t>.</w:t>
      </w:r>
    </w:p>
    <w:p w14:paraId="135174E9" w14:textId="7FF39DC2" w:rsidR="00497A54" w:rsidRPr="00266832" w:rsidRDefault="00497A54" w:rsidP="00266832">
      <w:pPr>
        <w:numPr>
          <w:ilvl w:val="0"/>
          <w:numId w:val="43"/>
        </w:numPr>
        <w:spacing w:before="0" w:after="0"/>
        <w:rPr>
          <w:szCs w:val="22"/>
        </w:rPr>
      </w:pPr>
      <w:r w:rsidRPr="00266832">
        <w:rPr>
          <w:szCs w:val="22"/>
        </w:rPr>
        <w:t>Developing national capacities through advisory services</w:t>
      </w:r>
      <w:r w:rsidR="003351FF" w:rsidRPr="00266832">
        <w:rPr>
          <w:szCs w:val="22"/>
        </w:rPr>
        <w:t xml:space="preserve"> by civil society organisations</w:t>
      </w:r>
      <w:r w:rsidRPr="00266832">
        <w:rPr>
          <w:szCs w:val="22"/>
        </w:rPr>
        <w:t>, conducting research and analysis</w:t>
      </w:r>
      <w:r w:rsidR="003351FF" w:rsidRPr="00266832">
        <w:rPr>
          <w:szCs w:val="22"/>
        </w:rPr>
        <w:t>;</w:t>
      </w:r>
    </w:p>
    <w:p w14:paraId="36FED66D" w14:textId="6CF9D6D2" w:rsidR="00497A54" w:rsidRPr="00266832" w:rsidRDefault="00497A54" w:rsidP="00266832">
      <w:pPr>
        <w:numPr>
          <w:ilvl w:val="0"/>
          <w:numId w:val="43"/>
        </w:numPr>
        <w:spacing w:before="0" w:after="0"/>
        <w:rPr>
          <w:szCs w:val="22"/>
        </w:rPr>
      </w:pPr>
      <w:r w:rsidRPr="00266832">
        <w:rPr>
          <w:szCs w:val="22"/>
        </w:rPr>
        <w:t xml:space="preserve">Supporting the collection of appropriate information, including statistical and research data, to enable </w:t>
      </w:r>
      <w:r w:rsidR="00304AAE">
        <w:rPr>
          <w:szCs w:val="22"/>
        </w:rPr>
        <w:t xml:space="preserve">governments </w:t>
      </w:r>
      <w:r w:rsidRPr="00266832">
        <w:rPr>
          <w:szCs w:val="22"/>
        </w:rPr>
        <w:t xml:space="preserve">to formulate and implement policies leading to the fulfilment of rights of persons with disabilities. </w:t>
      </w:r>
    </w:p>
    <w:p w14:paraId="4A397E24" w14:textId="77777777" w:rsidR="00941EA9" w:rsidRPr="00497A54" w:rsidRDefault="00941EA9" w:rsidP="00941EA9">
      <w:pPr>
        <w:ind w:left="720"/>
      </w:pPr>
    </w:p>
    <w:p w14:paraId="484D5BA6" w14:textId="77777777" w:rsidR="00266832" w:rsidRDefault="0026683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41EA9" w:rsidRPr="000D3A64" w14:paraId="38C2308F" w14:textId="77777777" w:rsidTr="00941EA9">
        <w:tc>
          <w:tcPr>
            <w:tcW w:w="9288" w:type="dxa"/>
          </w:tcPr>
          <w:p w14:paraId="04868C54" w14:textId="7316AF3B" w:rsidR="00941EA9" w:rsidRPr="000D3A64" w:rsidRDefault="00941EA9" w:rsidP="00941EA9">
            <w:pPr>
              <w:rPr>
                <w:rFonts w:ascii="Times New Roman Bold" w:hAnsi="Times New Roman Bold"/>
                <w:b/>
                <w:smallCaps/>
              </w:rPr>
            </w:pPr>
            <w:r w:rsidRPr="000D3A64">
              <w:rPr>
                <w:rFonts w:ascii="Times New Roman Bold" w:hAnsi="Times New Roman Bold"/>
                <w:b/>
                <w:smallCaps/>
              </w:rPr>
              <w:t>LOT 5: Supporting freedom of religion or belief</w:t>
            </w:r>
          </w:p>
        </w:tc>
      </w:tr>
    </w:tbl>
    <w:p w14:paraId="479B39E3" w14:textId="77777777" w:rsidR="00941EA9" w:rsidRDefault="00941EA9" w:rsidP="00941EA9">
      <w:r w:rsidRPr="000D3A64">
        <w:t xml:space="preserve">The </w:t>
      </w:r>
      <w:r w:rsidRPr="000D3A64">
        <w:rPr>
          <w:b/>
        </w:rPr>
        <w:t>general objective</w:t>
      </w:r>
      <w:r w:rsidRPr="000D3A64">
        <w:t xml:space="preserve"> </w:t>
      </w:r>
      <w:r w:rsidRPr="000D3A64">
        <w:rPr>
          <w:b/>
        </w:rPr>
        <w:t>of Lot 5</w:t>
      </w:r>
      <w:r w:rsidRPr="000D3A64">
        <w:t xml:space="preserve"> is to promote and protect freedom of thought, conscience and religion or belief, also known as freedom of religion or belief</w:t>
      </w:r>
      <w:r w:rsidRPr="000D3A64">
        <w:rPr>
          <w:rStyle w:val="FootnoteReference"/>
        </w:rPr>
        <w:footnoteReference w:id="23"/>
      </w:r>
      <w:r w:rsidRPr="000D3A64">
        <w:t>.</w:t>
      </w:r>
    </w:p>
    <w:p w14:paraId="1B3A32AC" w14:textId="17B1521B" w:rsidR="003351FF" w:rsidRPr="000D3A64" w:rsidRDefault="003351FF" w:rsidP="003351FF">
      <w:pPr>
        <w:spacing w:before="0" w:after="0"/>
        <w:rPr>
          <w:szCs w:val="22"/>
        </w:rPr>
      </w:pPr>
      <w:r w:rsidRPr="000D3A64">
        <w:rPr>
          <w:szCs w:val="22"/>
        </w:rPr>
        <w:t xml:space="preserve">In line with the </w:t>
      </w:r>
      <w:r w:rsidRPr="00266832">
        <w:rPr>
          <w:szCs w:val="22"/>
        </w:rPr>
        <w:t>2013 EU Guidelines on Freedom of Religion or Belief</w:t>
      </w:r>
      <w:r w:rsidR="004451D4" w:rsidRPr="00266832">
        <w:rPr>
          <w:rStyle w:val="FootnoteReference"/>
        </w:rPr>
        <w:footnoteReference w:id="24"/>
      </w:r>
      <w:r w:rsidRPr="00266832">
        <w:rPr>
          <w:szCs w:val="22"/>
        </w:rPr>
        <w:t>,</w:t>
      </w:r>
      <w:r w:rsidRPr="000D3A64">
        <w:rPr>
          <w:szCs w:val="22"/>
        </w:rPr>
        <w:t xml:space="preserve"> the EU "</w:t>
      </w:r>
      <w:r w:rsidRPr="00266832">
        <w:rPr>
          <w:i/>
          <w:szCs w:val="22"/>
        </w:rPr>
        <w:t>reaffirms its determination to promote, in its external human rights policy, freedom of religion or belief as a right to be exercised by everyone everywhere, based on the principles of equality, non-discrimination and universality</w:t>
      </w:r>
      <w:r w:rsidRPr="000D3A64">
        <w:rPr>
          <w:szCs w:val="22"/>
        </w:rPr>
        <w:t>". In doing this, the EU is guided by international human rights norms and jurisprudence, notably article 18 of the Universal Declaration of Human Rights</w:t>
      </w:r>
      <w:r>
        <w:rPr>
          <w:rStyle w:val="FootnoteReference"/>
          <w:szCs w:val="22"/>
        </w:rPr>
        <w:footnoteReference w:id="25"/>
      </w:r>
      <w:r w:rsidRPr="000D3A64">
        <w:rPr>
          <w:szCs w:val="22"/>
        </w:rPr>
        <w:t xml:space="preserve"> and article 18 of the International Covenant on Civil and Political Rights, which should be read in the light of the UN Human Rights </w:t>
      </w:r>
      <w:r>
        <w:rPr>
          <w:szCs w:val="22"/>
        </w:rPr>
        <w:t xml:space="preserve">Committee's General Comment </w:t>
      </w:r>
      <w:r w:rsidRPr="000D3A64">
        <w:rPr>
          <w:szCs w:val="22"/>
        </w:rPr>
        <w:t>22</w:t>
      </w:r>
      <w:r>
        <w:rPr>
          <w:rStyle w:val="FootnoteReference"/>
          <w:szCs w:val="22"/>
        </w:rPr>
        <w:footnoteReference w:id="26"/>
      </w:r>
      <w:r w:rsidRPr="000D3A64">
        <w:rPr>
          <w:szCs w:val="22"/>
        </w:rPr>
        <w:t>. The latter states that "</w:t>
      </w:r>
      <w:r w:rsidRPr="00266832">
        <w:rPr>
          <w:i/>
          <w:szCs w:val="22"/>
        </w:rPr>
        <w:t>Article 18 protects theistic, non-theistic and atheistic beliefs, as well as the right not to profess any religion or belief. The terms belief and religion are to be broadly construed</w:t>
      </w:r>
      <w:r w:rsidRPr="000D3A64">
        <w:rPr>
          <w:szCs w:val="22"/>
        </w:rPr>
        <w:t xml:space="preserve">." </w:t>
      </w:r>
      <w:r>
        <w:rPr>
          <w:szCs w:val="22"/>
        </w:rPr>
        <w:t>In line with international standards, t</w:t>
      </w:r>
      <w:r w:rsidRPr="000D3A64">
        <w:rPr>
          <w:szCs w:val="22"/>
        </w:rPr>
        <w:t>he EU focuses on the rights of individuals, as belief systems do not hold rights in themselves and are not protected by international human rights norms. Furthermore, the EU is impartial and is not aligned with any specific religion or belief.</w:t>
      </w:r>
    </w:p>
    <w:p w14:paraId="22B6B3C6" w14:textId="569F4D70" w:rsidR="003351FF" w:rsidRPr="000D3A64" w:rsidRDefault="003351FF" w:rsidP="003351FF">
      <w:r w:rsidRPr="000D3A64">
        <w:rPr>
          <w:szCs w:val="22"/>
        </w:rPr>
        <w:t xml:space="preserve">More specifically, and in line with the </w:t>
      </w:r>
      <w:r w:rsidRPr="00266832">
        <w:rPr>
          <w:szCs w:val="22"/>
        </w:rPr>
        <w:t>EU Action Plan on Human Rights and Democracy 2015-2019</w:t>
      </w:r>
      <w:r w:rsidRPr="00266832">
        <w:rPr>
          <w:rStyle w:val="FootnoteReference"/>
          <w:szCs w:val="22"/>
        </w:rPr>
        <w:footnoteReference w:id="27"/>
      </w:r>
      <w:r>
        <w:rPr>
          <w:i/>
          <w:szCs w:val="22"/>
        </w:rPr>
        <w:t xml:space="preserve"> </w:t>
      </w:r>
      <w:r w:rsidRPr="00411A5B">
        <w:rPr>
          <w:szCs w:val="22"/>
        </w:rPr>
        <w:t>and its</w:t>
      </w:r>
      <w:r>
        <w:rPr>
          <w:i/>
          <w:szCs w:val="22"/>
        </w:rPr>
        <w:t xml:space="preserve"> </w:t>
      </w:r>
      <w:r w:rsidRPr="000504CF">
        <w:rPr>
          <w:szCs w:val="22"/>
        </w:rPr>
        <w:t xml:space="preserve">action 12 on Freedom of Religion or Belief, </w:t>
      </w:r>
      <w:r w:rsidR="004451D4">
        <w:rPr>
          <w:szCs w:val="22"/>
        </w:rPr>
        <w:t>the EU is committed to support initi</w:t>
      </w:r>
      <w:r w:rsidRPr="000D3A64">
        <w:rPr>
          <w:szCs w:val="22"/>
        </w:rPr>
        <w:t xml:space="preserve">atives </w:t>
      </w:r>
      <w:r w:rsidR="004451D4">
        <w:rPr>
          <w:szCs w:val="22"/>
        </w:rPr>
        <w:t>focusing</w:t>
      </w:r>
      <w:r w:rsidRPr="000D3A64">
        <w:rPr>
          <w:szCs w:val="22"/>
        </w:rPr>
        <w:t xml:space="preserve"> on </w:t>
      </w:r>
      <w:r w:rsidRPr="000D3A64">
        <w:t xml:space="preserve">protecting the rights of persons belonging to religious or belief minorities, promoting </w:t>
      </w:r>
      <w:r>
        <w:t>inter</w:t>
      </w:r>
      <w:r w:rsidRPr="000D3A64">
        <w:t>cultural and</w:t>
      </w:r>
      <w:r>
        <w:t>/or inter</w:t>
      </w:r>
      <w:r w:rsidRPr="000D3A64">
        <w:t>religious dialogue, and/or strengthening the role of religious</w:t>
      </w:r>
      <w:r>
        <w:t xml:space="preserve"> actors</w:t>
      </w:r>
      <w:r w:rsidRPr="000D3A64">
        <w:t xml:space="preserve"> </w:t>
      </w:r>
      <w:r w:rsidRPr="00941EA9">
        <w:t>and leaders in ensuring</w:t>
      </w:r>
      <w:r w:rsidRPr="000D3A64">
        <w:t xml:space="preserve"> freedom of religion or belief. </w:t>
      </w:r>
    </w:p>
    <w:p w14:paraId="29089627" w14:textId="37DB72F2" w:rsidR="00941EA9" w:rsidRPr="000D3A64" w:rsidRDefault="00941EA9" w:rsidP="00941EA9">
      <w:r w:rsidRPr="000D3A64">
        <w:t xml:space="preserve">The </w:t>
      </w:r>
      <w:r w:rsidRPr="000D3A64">
        <w:rPr>
          <w:b/>
        </w:rPr>
        <w:t xml:space="preserve">specific objectives of Lot 5 </w:t>
      </w:r>
      <w:r w:rsidRPr="000D3A64">
        <w:t xml:space="preserve">are </w:t>
      </w:r>
      <w:r w:rsidR="004451D4">
        <w:t>the following</w:t>
      </w:r>
      <w:r w:rsidRPr="000D3A64">
        <w:t>:</w:t>
      </w:r>
    </w:p>
    <w:p w14:paraId="49752418" w14:textId="78D5705F" w:rsidR="00941EA9" w:rsidRPr="00266832" w:rsidRDefault="003351FF" w:rsidP="00266832">
      <w:pPr>
        <w:numPr>
          <w:ilvl w:val="0"/>
          <w:numId w:val="58"/>
        </w:numPr>
        <w:rPr>
          <w:b/>
        </w:rPr>
      </w:pPr>
      <w:r>
        <w:t>t</w:t>
      </w:r>
      <w:r w:rsidRPr="000D3A64">
        <w:t xml:space="preserve">o </w:t>
      </w:r>
      <w:r w:rsidR="00941EA9" w:rsidRPr="00266832">
        <w:rPr>
          <w:b/>
          <w:i/>
        </w:rPr>
        <w:t>promote everyone's freedom to believe or not to believe</w:t>
      </w:r>
      <w:r w:rsidR="00941EA9" w:rsidRPr="000D3A64">
        <w:t xml:space="preserve">, without any coercion, with a particular focus on countries or situations where individuals are penalised for the act of freely choosing, changing or abandoning their religion or belief; </w:t>
      </w:r>
      <w:r w:rsidR="00941EA9" w:rsidRPr="00266832">
        <w:rPr>
          <w:b/>
        </w:rPr>
        <w:t>and/or</w:t>
      </w:r>
    </w:p>
    <w:p w14:paraId="2DF682F6" w14:textId="2F44F123" w:rsidR="00941EA9" w:rsidRPr="00266832" w:rsidRDefault="003351FF" w:rsidP="00266832">
      <w:pPr>
        <w:numPr>
          <w:ilvl w:val="0"/>
          <w:numId w:val="58"/>
        </w:numPr>
        <w:rPr>
          <w:b/>
        </w:rPr>
      </w:pPr>
      <w:r w:rsidRPr="00266832">
        <w:t xml:space="preserve">to </w:t>
      </w:r>
      <w:r w:rsidR="00941EA9" w:rsidRPr="00266832">
        <w:rPr>
          <w:b/>
          <w:i/>
        </w:rPr>
        <w:t>promote the right</w:t>
      </w:r>
      <w:r w:rsidR="00941EA9" w:rsidRPr="00266832">
        <w:t xml:space="preserve"> either alone or in community with othe</w:t>
      </w:r>
      <w:r w:rsidR="00941EA9" w:rsidRPr="000D3A64">
        <w:t xml:space="preserve">rs, in public or private, </w:t>
      </w:r>
      <w:r w:rsidR="00941EA9" w:rsidRPr="00266832">
        <w:rPr>
          <w:b/>
          <w:i/>
        </w:rPr>
        <w:t xml:space="preserve">to </w:t>
      </w:r>
      <w:r w:rsidR="004B3A4E" w:rsidRPr="00266832">
        <w:rPr>
          <w:b/>
          <w:i/>
        </w:rPr>
        <w:t xml:space="preserve">express or </w:t>
      </w:r>
      <w:r w:rsidR="00941EA9" w:rsidRPr="00266832">
        <w:rPr>
          <w:b/>
          <w:i/>
        </w:rPr>
        <w:t xml:space="preserve">manifest a religion or belief </w:t>
      </w:r>
      <w:r w:rsidR="00941EA9" w:rsidRPr="000D3A64">
        <w:t>in teaching, practice, worship and observance</w:t>
      </w:r>
      <w:r w:rsidR="004B3A4E">
        <w:t>, including artistic and cultural expressions of belief</w:t>
      </w:r>
      <w:r w:rsidR="00FF4FCB">
        <w:t xml:space="preserve"> and enjoyment of cultural/religious heritage; </w:t>
      </w:r>
      <w:r w:rsidR="00941EA9" w:rsidRPr="00266832">
        <w:rPr>
          <w:b/>
        </w:rPr>
        <w:t>and/or</w:t>
      </w:r>
    </w:p>
    <w:p w14:paraId="650AF3D4" w14:textId="02E39287" w:rsidR="00941EA9" w:rsidRPr="000D3A64" w:rsidRDefault="003351FF" w:rsidP="00266832">
      <w:pPr>
        <w:numPr>
          <w:ilvl w:val="0"/>
          <w:numId w:val="58"/>
        </w:numPr>
      </w:pPr>
      <w:proofErr w:type="gramStart"/>
      <w:r>
        <w:t>t</w:t>
      </w:r>
      <w:r w:rsidRPr="000D3A64">
        <w:t>o</w:t>
      </w:r>
      <w:proofErr w:type="gramEnd"/>
      <w:r w:rsidRPr="000D3A64">
        <w:t xml:space="preserve"> </w:t>
      </w:r>
      <w:r w:rsidR="00941EA9" w:rsidRPr="00266832">
        <w:rPr>
          <w:b/>
          <w:i/>
        </w:rPr>
        <w:t>prevent and combat discrimination, intolerance and violence on grounds of religion or belief in all its forms</w:t>
      </w:r>
      <w:r w:rsidR="00941EA9" w:rsidRPr="000D3A64">
        <w:t xml:space="preserve">, whether committed by governmental or non-governmental actors. This may include </w:t>
      </w:r>
      <w:r w:rsidR="00941EA9">
        <w:t xml:space="preserve">violations of </w:t>
      </w:r>
      <w:r w:rsidR="00941EA9" w:rsidRPr="000D3A64">
        <w:t xml:space="preserve">freedom of religion or belief deriving e.g. from traditional practices or discriminatory </w:t>
      </w:r>
      <w:r w:rsidR="00941EA9" w:rsidRPr="000D3A64">
        <w:lastRenderedPageBreak/>
        <w:t xml:space="preserve">legislation or practices against women and girls, and/or persons belonging to minorities or other vulnerable groups; </w:t>
      </w:r>
      <w:r w:rsidR="00941EA9" w:rsidRPr="00266832">
        <w:rPr>
          <w:b/>
        </w:rPr>
        <w:t>and/or</w:t>
      </w:r>
      <w:r w:rsidR="00941EA9" w:rsidRPr="000D3A64">
        <w:t xml:space="preserve"> </w:t>
      </w:r>
    </w:p>
    <w:p w14:paraId="7038EB66" w14:textId="6F78EB1B" w:rsidR="00941EA9" w:rsidRDefault="003351FF" w:rsidP="00266832">
      <w:pPr>
        <w:numPr>
          <w:ilvl w:val="0"/>
          <w:numId w:val="58"/>
        </w:numPr>
      </w:pPr>
      <w:proofErr w:type="gramStart"/>
      <w:r>
        <w:t>t</w:t>
      </w:r>
      <w:r w:rsidRPr="008A5183">
        <w:t>o</w:t>
      </w:r>
      <w:proofErr w:type="gramEnd"/>
      <w:r w:rsidRPr="008A5183">
        <w:t xml:space="preserve"> </w:t>
      </w:r>
      <w:r w:rsidR="00941EA9" w:rsidRPr="00266832">
        <w:rPr>
          <w:b/>
          <w:i/>
        </w:rPr>
        <w:t>enhance mutual understanding and respect between individuals of different faith or none</w:t>
      </w:r>
      <w:r w:rsidR="00941EA9" w:rsidRPr="008A5183">
        <w:t>, contributing to inclusive communities and societies accepting diversity</w:t>
      </w:r>
      <w:r w:rsidR="00FF4FCB">
        <w:t xml:space="preserve"> </w:t>
      </w:r>
      <w:r w:rsidR="00941EA9" w:rsidRPr="008A5183">
        <w:t xml:space="preserve">and capable of addressing potential conflicts in a peaceful manner. </w:t>
      </w:r>
    </w:p>
    <w:p w14:paraId="0ED1646E" w14:textId="77777777" w:rsidR="00684F0E" w:rsidRDefault="00684F0E" w:rsidP="00941EA9">
      <w:pPr>
        <w:spacing w:after="0"/>
        <w:ind w:left="12"/>
      </w:pPr>
      <w:r w:rsidRPr="00092331">
        <w:t xml:space="preserve">For the purpose of this call, actions should focus </w:t>
      </w:r>
      <w:r w:rsidRPr="00684F0E">
        <w:rPr>
          <w:b/>
          <w:u w:val="single"/>
        </w:rPr>
        <w:t>on at least one</w:t>
      </w:r>
      <w:r w:rsidRPr="00684F0E">
        <w:rPr>
          <w:u w:val="single"/>
        </w:rPr>
        <w:t xml:space="preserve"> </w:t>
      </w:r>
      <w:r w:rsidRPr="00092331">
        <w:t>of the speci</w:t>
      </w:r>
      <w:r>
        <w:t xml:space="preserve">fic objectives mentioned above. </w:t>
      </w:r>
    </w:p>
    <w:p w14:paraId="3EA154CC" w14:textId="12069293" w:rsidR="00941EA9" w:rsidRDefault="00941EA9" w:rsidP="00941EA9">
      <w:pPr>
        <w:spacing w:after="0"/>
        <w:ind w:left="12"/>
        <w:rPr>
          <w:szCs w:val="22"/>
          <w:lang w:eastAsia="en-GB"/>
        </w:rPr>
      </w:pPr>
      <w:r w:rsidRPr="000D3A64">
        <w:rPr>
          <w:szCs w:val="22"/>
          <w:lang w:eastAsia="en-GB"/>
        </w:rPr>
        <w:t>This lot shall not support or prioritise actions addressing other types of discrimination</w:t>
      </w:r>
      <w:r w:rsidR="00266832">
        <w:rPr>
          <w:szCs w:val="22"/>
          <w:lang w:eastAsia="en-GB"/>
        </w:rPr>
        <w:t xml:space="preserve"> than those committed on the ground of </w:t>
      </w:r>
      <w:r w:rsidR="00266832" w:rsidRPr="000D3A64">
        <w:t>religion or belief</w:t>
      </w:r>
      <w:r w:rsidRPr="000D3A64">
        <w:rPr>
          <w:szCs w:val="22"/>
          <w:lang w:eastAsia="en-GB"/>
        </w:rPr>
        <w:t>, except if these relate to multiple and intersectional discrimination.</w:t>
      </w:r>
      <w:r>
        <w:rPr>
          <w:szCs w:val="22"/>
          <w:lang w:eastAsia="en-GB"/>
        </w:rPr>
        <w:t xml:space="preserve"> </w:t>
      </w:r>
    </w:p>
    <w:p w14:paraId="2792B3CB" w14:textId="77777777" w:rsidR="00941EA9" w:rsidRPr="000D3A64" w:rsidRDefault="00941EA9" w:rsidP="00941EA9">
      <w:pPr>
        <w:rPr>
          <w:u w:val="single"/>
        </w:rPr>
      </w:pPr>
      <w:r w:rsidRPr="000D3A64">
        <w:rPr>
          <w:u w:val="single"/>
        </w:rPr>
        <w:t>Indicative and non-exhaustive list of activities for Lot 5:</w:t>
      </w:r>
    </w:p>
    <w:p w14:paraId="42082D1E" w14:textId="70C5AEB5" w:rsidR="00941EA9" w:rsidRDefault="00941EA9" w:rsidP="00455615">
      <w:pPr>
        <w:numPr>
          <w:ilvl w:val="0"/>
          <w:numId w:val="43"/>
        </w:numPr>
        <w:spacing w:before="0" w:after="0"/>
        <w:rPr>
          <w:szCs w:val="22"/>
        </w:rPr>
      </w:pPr>
      <w:r w:rsidRPr="000D3A64">
        <w:rPr>
          <w:szCs w:val="22"/>
        </w:rPr>
        <w:t xml:space="preserve">Awareness raising, training and/or capacity building of local civil society organisations, </w:t>
      </w:r>
      <w:r w:rsidR="004451D4" w:rsidRPr="000D3A64">
        <w:rPr>
          <w:szCs w:val="22"/>
        </w:rPr>
        <w:t>human rights defenders</w:t>
      </w:r>
      <w:r w:rsidRPr="000D3A64">
        <w:rPr>
          <w:szCs w:val="22"/>
        </w:rPr>
        <w:t>, affected individuals, groups and/or religious leaders, while ensuring inclusiveness (including participation of women, youth, persons belonging to minorities, etc.);</w:t>
      </w:r>
    </w:p>
    <w:p w14:paraId="7D36A76F" w14:textId="5179D9BD" w:rsidR="004B3A4E" w:rsidRPr="004B3A4E" w:rsidRDefault="004B3A4E" w:rsidP="00455615">
      <w:pPr>
        <w:numPr>
          <w:ilvl w:val="0"/>
          <w:numId w:val="43"/>
        </w:numPr>
        <w:spacing w:before="0" w:after="0"/>
        <w:rPr>
          <w:szCs w:val="22"/>
        </w:rPr>
      </w:pPr>
      <w:r>
        <w:rPr>
          <w:szCs w:val="22"/>
        </w:rPr>
        <w:t>Activities developing literacy and capacity of the youth to develop respect for freedom of religion or belief and understanding about intercultural, interreligious and/or equal citizenship-related matters;</w:t>
      </w:r>
    </w:p>
    <w:p w14:paraId="4EB79E7B" w14:textId="4D7C3715" w:rsidR="00941EA9" w:rsidRPr="000D3A64" w:rsidRDefault="00941EA9" w:rsidP="00455615">
      <w:pPr>
        <w:numPr>
          <w:ilvl w:val="0"/>
          <w:numId w:val="43"/>
        </w:numPr>
        <w:spacing w:before="0" w:after="0"/>
        <w:rPr>
          <w:szCs w:val="22"/>
        </w:rPr>
      </w:pPr>
      <w:r w:rsidRPr="000D3A64">
        <w:rPr>
          <w:szCs w:val="22"/>
        </w:rPr>
        <w:t>Provision of legal or other support, protection and assistance for human rights defenders</w:t>
      </w:r>
      <w:r w:rsidR="00467B20">
        <w:rPr>
          <w:szCs w:val="22"/>
        </w:rPr>
        <w:t>, including academics</w:t>
      </w:r>
      <w:r w:rsidR="004451D4">
        <w:rPr>
          <w:szCs w:val="22"/>
        </w:rPr>
        <w:t xml:space="preserve"> working on </w:t>
      </w:r>
      <w:r w:rsidR="004451D4" w:rsidRPr="000D3A64">
        <w:rPr>
          <w:szCs w:val="22"/>
        </w:rPr>
        <w:t>freedom of religion or belief</w:t>
      </w:r>
      <w:r w:rsidRPr="000D3A64">
        <w:rPr>
          <w:szCs w:val="22"/>
        </w:rPr>
        <w:t xml:space="preserve">, </w:t>
      </w:r>
      <w:r w:rsidR="004451D4">
        <w:rPr>
          <w:szCs w:val="22"/>
        </w:rPr>
        <w:t xml:space="preserve">and/or to </w:t>
      </w:r>
      <w:r w:rsidRPr="000D3A64">
        <w:rPr>
          <w:szCs w:val="22"/>
        </w:rPr>
        <w:t>vulnerable individuals or groups affected by violations of freedom of religion or belief;</w:t>
      </w:r>
    </w:p>
    <w:p w14:paraId="7547B291" w14:textId="77777777" w:rsidR="00941EA9" w:rsidRPr="000D3A64" w:rsidRDefault="00941EA9" w:rsidP="00455615">
      <w:pPr>
        <w:numPr>
          <w:ilvl w:val="0"/>
          <w:numId w:val="43"/>
        </w:numPr>
        <w:spacing w:before="0" w:after="0"/>
        <w:rPr>
          <w:szCs w:val="22"/>
        </w:rPr>
      </w:pPr>
      <w:r w:rsidRPr="000D3A64">
        <w:rPr>
          <w:szCs w:val="22"/>
        </w:rPr>
        <w:t xml:space="preserve">Activities aiming at documentation of abuses and collection of disaggregated data (including sex-disaggregated); </w:t>
      </w:r>
    </w:p>
    <w:p w14:paraId="5A9A555E" w14:textId="1BE99307" w:rsidR="00941EA9" w:rsidRPr="000D3A64" w:rsidRDefault="00941EA9" w:rsidP="00455615">
      <w:pPr>
        <w:numPr>
          <w:ilvl w:val="0"/>
          <w:numId w:val="43"/>
        </w:numPr>
        <w:spacing w:before="0" w:after="0"/>
        <w:rPr>
          <w:szCs w:val="22"/>
        </w:rPr>
      </w:pPr>
      <w:r w:rsidRPr="000D3A64">
        <w:rPr>
          <w:szCs w:val="22"/>
        </w:rPr>
        <w:t>Advocacy and support for change of discriminatory laws and practices and for the design of legal and public policies or measures which respect international human rights standards o</w:t>
      </w:r>
      <w:r>
        <w:rPr>
          <w:szCs w:val="22"/>
        </w:rPr>
        <w:t>n freedom of religion or belief;</w:t>
      </w:r>
      <w:r w:rsidR="00467B20">
        <w:rPr>
          <w:szCs w:val="22"/>
        </w:rPr>
        <w:t xml:space="preserve"> in particular</w:t>
      </w:r>
      <w:r w:rsidR="003F1916">
        <w:rPr>
          <w:szCs w:val="22"/>
        </w:rPr>
        <w:t xml:space="preserve"> the</w:t>
      </w:r>
      <w:r w:rsidR="00467B20">
        <w:rPr>
          <w:szCs w:val="22"/>
        </w:rPr>
        <w:t xml:space="preserve"> discrimination</w:t>
      </w:r>
      <w:r w:rsidR="003F1916">
        <w:rPr>
          <w:szCs w:val="22"/>
        </w:rPr>
        <w:t xml:space="preserve"> </w:t>
      </w:r>
      <w:r w:rsidR="00467B20">
        <w:rPr>
          <w:szCs w:val="22"/>
        </w:rPr>
        <w:t>against vulnerable groups</w:t>
      </w:r>
    </w:p>
    <w:p w14:paraId="6DC9D82E" w14:textId="77777777" w:rsidR="00941EA9" w:rsidRPr="000D3A64" w:rsidRDefault="00941EA9" w:rsidP="00455615">
      <w:pPr>
        <w:numPr>
          <w:ilvl w:val="0"/>
          <w:numId w:val="43"/>
        </w:numPr>
        <w:spacing w:before="0" w:after="0"/>
        <w:rPr>
          <w:szCs w:val="22"/>
        </w:rPr>
      </w:pPr>
      <w:r w:rsidRPr="000D3A64">
        <w:rPr>
          <w:szCs w:val="22"/>
        </w:rPr>
        <w:t>Monitoring and reporting of the level of application of such laws and measures;</w:t>
      </w:r>
    </w:p>
    <w:p w14:paraId="73773F2A" w14:textId="77777777" w:rsidR="00941EA9" w:rsidRPr="000D3A64" w:rsidRDefault="00941EA9" w:rsidP="00455615">
      <w:pPr>
        <w:numPr>
          <w:ilvl w:val="0"/>
          <w:numId w:val="43"/>
        </w:numPr>
        <w:spacing w:before="0" w:after="0"/>
        <w:rPr>
          <w:szCs w:val="22"/>
        </w:rPr>
      </w:pPr>
      <w:r w:rsidRPr="000D3A64">
        <w:rPr>
          <w:szCs w:val="22"/>
        </w:rPr>
        <w:t>Accountability measures addressing impunity of violations (e.g. truth and reconciliation initiatives);</w:t>
      </w:r>
    </w:p>
    <w:p w14:paraId="40BF2206" w14:textId="77777777" w:rsidR="00941EA9" w:rsidRPr="000D3A64" w:rsidRDefault="00941EA9" w:rsidP="00455615">
      <w:pPr>
        <w:numPr>
          <w:ilvl w:val="0"/>
          <w:numId w:val="43"/>
        </w:numPr>
        <w:spacing w:before="0" w:after="0"/>
        <w:rPr>
          <w:szCs w:val="22"/>
        </w:rPr>
      </w:pPr>
      <w:r w:rsidRPr="000D3A64">
        <w:rPr>
          <w:szCs w:val="22"/>
        </w:rPr>
        <w:t>Advocacy and redress for and by international, regional and national human rights mechanisms and bodies;</w:t>
      </w:r>
    </w:p>
    <w:p w14:paraId="7F890C14" w14:textId="77777777" w:rsidR="00941EA9" w:rsidRPr="000D3A64" w:rsidRDefault="00941EA9" w:rsidP="00455615">
      <w:pPr>
        <w:numPr>
          <w:ilvl w:val="0"/>
          <w:numId w:val="43"/>
        </w:numPr>
        <w:spacing w:before="0" w:after="0"/>
        <w:rPr>
          <w:szCs w:val="22"/>
        </w:rPr>
      </w:pPr>
      <w:r w:rsidRPr="000D3A64">
        <w:rPr>
          <w:szCs w:val="22"/>
        </w:rPr>
        <w:t>Promoting inclusive and strategic partnerships, networking and cooperation between different stakeholders, organisations and representatives of different faiths and none, at local, regional and/or international levels, and identifying, sharing and amplifying best practices;</w:t>
      </w:r>
    </w:p>
    <w:p w14:paraId="47A15B8B" w14:textId="4D6FD2DD" w:rsidR="00941EA9" w:rsidRPr="000D3A64" w:rsidRDefault="00941EA9" w:rsidP="00455615">
      <w:pPr>
        <w:numPr>
          <w:ilvl w:val="0"/>
          <w:numId w:val="43"/>
        </w:numPr>
        <w:spacing w:before="0" w:after="0"/>
        <w:rPr>
          <w:szCs w:val="22"/>
        </w:rPr>
      </w:pPr>
      <w:r>
        <w:rPr>
          <w:szCs w:val="22"/>
        </w:rPr>
        <w:t xml:space="preserve">Implementing </w:t>
      </w:r>
      <w:r w:rsidRPr="000D3A64">
        <w:rPr>
          <w:szCs w:val="22"/>
        </w:rPr>
        <w:t xml:space="preserve">activities </w:t>
      </w:r>
      <w:r w:rsidR="00B7714E">
        <w:rPr>
          <w:szCs w:val="22"/>
        </w:rPr>
        <w:t>relating to</w:t>
      </w:r>
      <w:r w:rsidRPr="000D3A64">
        <w:rPr>
          <w:szCs w:val="22"/>
        </w:rPr>
        <w:t xml:space="preserve"> promising initiatives in this field, such as the </w:t>
      </w:r>
      <w:r w:rsidRPr="00455615">
        <w:rPr>
          <w:szCs w:val="22"/>
        </w:rPr>
        <w:t>2012 Rabat Plan of Action on the prohibition of advocacy of national, racial or religious hatred that constitutes incitement to discrimination, hostility or violence</w:t>
      </w:r>
      <w:r w:rsidR="000A1B6E" w:rsidRPr="00455615">
        <w:rPr>
          <w:rStyle w:val="FootnoteReference"/>
        </w:rPr>
        <w:footnoteReference w:id="28"/>
      </w:r>
      <w:r w:rsidR="00623702" w:rsidRPr="00455615">
        <w:rPr>
          <w:szCs w:val="22"/>
        </w:rPr>
        <w:t>, etc.</w:t>
      </w:r>
      <w:r w:rsidRPr="000D3A64">
        <w:rPr>
          <w:szCs w:val="22"/>
        </w:rPr>
        <w:t xml:space="preserve">; </w:t>
      </w:r>
    </w:p>
    <w:p w14:paraId="1441BC24" w14:textId="77777777" w:rsidR="00941EA9" w:rsidRPr="000D3A64" w:rsidRDefault="00941EA9" w:rsidP="00455615">
      <w:pPr>
        <w:numPr>
          <w:ilvl w:val="0"/>
          <w:numId w:val="43"/>
        </w:numPr>
        <w:spacing w:before="0" w:after="0"/>
        <w:rPr>
          <w:szCs w:val="22"/>
        </w:rPr>
      </w:pPr>
      <w:r w:rsidRPr="000D3A64">
        <w:rPr>
          <w:szCs w:val="22"/>
        </w:rPr>
        <w:t>Developing and implementing community-based approaches, including community education, dialogue, mediation, non-violent communication and/or other conflict transformation measures addressing entrenched ideas and practices of discriminatory and conflictual nature and aiming at change of mind-sets and behaviour;</w:t>
      </w:r>
    </w:p>
    <w:p w14:paraId="38DB5FFC" w14:textId="77777777" w:rsidR="00941EA9" w:rsidRDefault="00941EA9" w:rsidP="00455615">
      <w:pPr>
        <w:numPr>
          <w:ilvl w:val="0"/>
          <w:numId w:val="43"/>
        </w:numPr>
        <w:spacing w:before="0" w:after="0"/>
        <w:rPr>
          <w:szCs w:val="22"/>
        </w:rPr>
      </w:pPr>
      <w:r w:rsidRPr="000D3A64">
        <w:rPr>
          <w:szCs w:val="22"/>
        </w:rPr>
        <w:t>Awareness raising</w:t>
      </w:r>
      <w:r>
        <w:rPr>
          <w:szCs w:val="22"/>
        </w:rPr>
        <w:t xml:space="preserve"> and communication </w:t>
      </w:r>
      <w:r w:rsidRPr="000D3A64">
        <w:rPr>
          <w:szCs w:val="22"/>
        </w:rPr>
        <w:t xml:space="preserve">campaigns to inform general public about violations of freedom of religion or belief and/or promising initiatives in this field. </w:t>
      </w:r>
    </w:p>
    <w:p w14:paraId="2677F61E" w14:textId="77777777" w:rsidR="00501074" w:rsidRDefault="00501074" w:rsidP="00501074"/>
    <w:p w14:paraId="518287C0" w14:textId="77777777" w:rsidR="007C41C4" w:rsidRDefault="007C41C4" w:rsidP="00501074"/>
    <w:p w14:paraId="179EB502" w14:textId="77777777" w:rsidR="007C41C4" w:rsidRPr="00F56045" w:rsidRDefault="007C41C4" w:rsidP="00501074"/>
    <w:p w14:paraId="37C2FA00" w14:textId="5669D14A" w:rsidR="00501074" w:rsidRDefault="004451D4" w:rsidP="00501074">
      <w:pPr>
        <w:pStyle w:val="Guidelines2"/>
        <w:numPr>
          <w:ilvl w:val="0"/>
          <w:numId w:val="0"/>
        </w:numPr>
        <w:ind w:left="567" w:hanging="567"/>
      </w:pPr>
      <w:r>
        <w:br w:type="page"/>
      </w:r>
      <w:bookmarkStart w:id="3" w:name="_Toc487024635"/>
      <w:r w:rsidR="00501074" w:rsidRPr="00501074">
        <w:lastRenderedPageBreak/>
        <w:t>1.3</w:t>
      </w:r>
      <w:r w:rsidR="00501074" w:rsidRPr="00501074">
        <w:tab/>
        <w:t>FINANCIAL ALLOCATION PROVIDED BY THE CONTRACTING AUTHORITY</w:t>
      </w:r>
      <w:bookmarkEnd w:id="3"/>
      <w:r w:rsidR="00501074" w:rsidRPr="00501074">
        <w:t xml:space="preserve"> </w:t>
      </w:r>
    </w:p>
    <w:p w14:paraId="4DFDA3E5" w14:textId="77777777" w:rsidR="00501074" w:rsidRDefault="00501074" w:rsidP="00501074">
      <w:r>
        <w:t>The overall indicative amount made available under this call for proposals is EUR 25,000,000 EUR. The Contracting Authority reserves the right not to award all available funds. Equally, this amount could be increased should more funds become available.</w:t>
      </w:r>
    </w:p>
    <w:p w14:paraId="1685767D" w14:textId="422CF7F9" w:rsidR="00501074" w:rsidRDefault="00501074" w:rsidP="00501074">
      <w:r>
        <w:t xml:space="preserve">Indicative allocation of funds </w:t>
      </w:r>
      <w:r w:rsidR="005667B2">
        <w:t>for each lot:</w:t>
      </w:r>
      <w:r>
        <w:t xml:space="preserve"> EUR 5,000,000</w:t>
      </w:r>
      <w:r w:rsidR="005667B2">
        <w:t>.</w:t>
      </w:r>
    </w:p>
    <w:p w14:paraId="191F5B46" w14:textId="77777777" w:rsidR="00501074" w:rsidRDefault="00501074" w:rsidP="00501074">
      <w:r>
        <w:t>If the allocation indicated for a specific lot cannot be used due to insufficient quality or number of proposals received, the Contracting Authority reserves the right to reallocate the remaining funds to (an</w:t>
      </w:r>
      <w:proofErr w:type="gramStart"/>
      <w:r>
        <w:t>)other</w:t>
      </w:r>
      <w:proofErr w:type="gramEnd"/>
      <w:r>
        <w:t xml:space="preserve"> lot(s).</w:t>
      </w:r>
    </w:p>
    <w:p w14:paraId="62FD594E" w14:textId="77777777" w:rsidR="00501074" w:rsidRPr="0071733C" w:rsidRDefault="00501074" w:rsidP="00501074">
      <w:pPr>
        <w:rPr>
          <w:u w:val="single"/>
        </w:rPr>
      </w:pPr>
      <w:r w:rsidRPr="0071733C">
        <w:rPr>
          <w:u w:val="single"/>
        </w:rPr>
        <w:t>Size of grants</w:t>
      </w:r>
    </w:p>
    <w:p w14:paraId="2C57ED1D" w14:textId="13E87A33" w:rsidR="00501074" w:rsidRDefault="00501074" w:rsidP="00501074">
      <w:r>
        <w:t xml:space="preserve">Any </w:t>
      </w:r>
      <w:r w:rsidR="008C72EA">
        <w:t>requested EU contribution</w:t>
      </w:r>
      <w:r>
        <w:t xml:space="preserve"> must fall between the following minimum and maximum amounts:</w:t>
      </w:r>
    </w:p>
    <w:p w14:paraId="44303AF7" w14:textId="77777777" w:rsidR="00501074" w:rsidRPr="003060CA" w:rsidRDefault="00501074" w:rsidP="00501074">
      <w:pPr>
        <w:rPr>
          <w:color w:val="FF0000"/>
        </w:rPr>
      </w:pPr>
      <w:r w:rsidRPr="00A6469E">
        <w:t>•</w:t>
      </w:r>
      <w:r w:rsidRPr="003060CA">
        <w:rPr>
          <w:color w:val="FF0000"/>
        </w:rPr>
        <w:tab/>
      </w:r>
      <w:proofErr w:type="gramStart"/>
      <w:r w:rsidRPr="003060CA">
        <w:t>minimum</w:t>
      </w:r>
      <w:proofErr w:type="gramEnd"/>
      <w:r w:rsidRPr="003060CA">
        <w:t xml:space="preserve"> amount: EUR 250,000</w:t>
      </w:r>
    </w:p>
    <w:p w14:paraId="0952EFDF" w14:textId="77777777" w:rsidR="00501074" w:rsidRDefault="00501074" w:rsidP="00501074">
      <w:r w:rsidRPr="003060CA">
        <w:t>•</w:t>
      </w:r>
      <w:r w:rsidRPr="003060CA">
        <w:tab/>
      </w:r>
      <w:proofErr w:type="gramStart"/>
      <w:r w:rsidRPr="003060CA">
        <w:t>maximum</w:t>
      </w:r>
      <w:proofErr w:type="gramEnd"/>
      <w:r w:rsidRPr="003060CA">
        <w:t xml:space="preserve"> amount: EUR 1,000,000</w:t>
      </w:r>
    </w:p>
    <w:p w14:paraId="4DC90531" w14:textId="3CC0E364" w:rsidR="00501074" w:rsidRDefault="00501074" w:rsidP="00501074">
      <w:r>
        <w:t xml:space="preserve">Any </w:t>
      </w:r>
      <w:r w:rsidR="008C72EA">
        <w:t xml:space="preserve">requested EU contribution </w:t>
      </w:r>
      <w:r>
        <w:t>under all Lots of this call for proposals must fall between the following minimum and maximum percentages of total eligible costs of the action:</w:t>
      </w:r>
    </w:p>
    <w:p w14:paraId="33D91812" w14:textId="77777777" w:rsidR="00501074" w:rsidRDefault="00501074" w:rsidP="00501074">
      <w:r>
        <w:t>•</w:t>
      </w:r>
      <w:r>
        <w:tab/>
      </w:r>
      <w:proofErr w:type="gramStart"/>
      <w:r>
        <w:t>minimum</w:t>
      </w:r>
      <w:proofErr w:type="gramEnd"/>
      <w:r>
        <w:t xml:space="preserve"> percentage: 51% of the total eligible costs of the action.</w:t>
      </w:r>
    </w:p>
    <w:p w14:paraId="2A7D3A44" w14:textId="77777777" w:rsidR="00501074" w:rsidRDefault="00501074" w:rsidP="00501074">
      <w:r>
        <w:t>•</w:t>
      </w:r>
      <w:r>
        <w:tab/>
      </w:r>
      <w:proofErr w:type="gramStart"/>
      <w:r>
        <w:t>maximum</w:t>
      </w:r>
      <w:proofErr w:type="gramEnd"/>
      <w:r>
        <w:t xml:space="preserve"> percentage: 95% of the total eligible costs of the action (see also section 2.1.5). </w:t>
      </w:r>
    </w:p>
    <w:p w14:paraId="5CE9C1C4" w14:textId="77777777" w:rsidR="00CD6F5A" w:rsidRPr="009E2935" w:rsidRDefault="00CD6F5A" w:rsidP="00CD6F5A">
      <w:pPr>
        <w:tabs>
          <w:tab w:val="num" w:pos="0"/>
        </w:tabs>
        <w:rPr>
          <w:szCs w:val="22"/>
        </w:rPr>
      </w:pPr>
      <w:r w:rsidRPr="00807DAF">
        <w:rPr>
          <w:szCs w:val="22"/>
        </w:rPr>
        <w:t xml:space="preserve">The balance (i.e. the difference between the total cost of action and the amount requested from the Contracting Authority) must be financed from sources other than the European Union Budget or the </w:t>
      </w:r>
      <w:r w:rsidRPr="009E2935">
        <w:rPr>
          <w:szCs w:val="22"/>
        </w:rPr>
        <w:t>European Development Fund</w:t>
      </w:r>
      <w:r w:rsidRPr="009E2935">
        <w:rPr>
          <w:rStyle w:val="FootnoteReference"/>
        </w:rPr>
        <w:footnoteReference w:id="29"/>
      </w:r>
      <w:r w:rsidRPr="009E2935">
        <w:rPr>
          <w:szCs w:val="22"/>
        </w:rPr>
        <w:t>.</w:t>
      </w:r>
    </w:p>
    <w:p w14:paraId="0EBB7298" w14:textId="4A17D732" w:rsidR="00CD6F5A" w:rsidRPr="00932CE0" w:rsidRDefault="00CD6F5A" w:rsidP="00CD6F5A">
      <w:pPr>
        <w:rPr>
          <w:szCs w:val="22"/>
        </w:rPr>
      </w:pPr>
      <w:r w:rsidRPr="009E2935">
        <w:rPr>
          <w:szCs w:val="22"/>
        </w:rPr>
        <w:t>The requested EU contribution may cover the entire eligible costs of the action if this is deemed essential to carry it out.</w:t>
      </w:r>
      <w:r>
        <w:rPr>
          <w:szCs w:val="22"/>
        </w:rPr>
        <w:t xml:space="preserve"> </w:t>
      </w:r>
      <w:r w:rsidRPr="00932CE0">
        <w:rPr>
          <w:szCs w:val="22"/>
        </w:rPr>
        <w:t>Note that the lead applicant can either as</w:t>
      </w:r>
      <w:r>
        <w:rPr>
          <w:szCs w:val="22"/>
        </w:rPr>
        <w:t>k for a maximum percentage of 95</w:t>
      </w:r>
      <w:r w:rsidRPr="00932CE0">
        <w:rPr>
          <w:szCs w:val="22"/>
        </w:rPr>
        <w:t>% or for 100% (under the conditions described above), but</w:t>
      </w:r>
      <w:r>
        <w:rPr>
          <w:szCs w:val="22"/>
        </w:rPr>
        <w:t xml:space="preserve"> not for a percentage between 95</w:t>
      </w:r>
      <w:r w:rsidRPr="00932CE0">
        <w:rPr>
          <w:szCs w:val="22"/>
        </w:rPr>
        <w:t xml:space="preserve"> and 100%. </w:t>
      </w:r>
    </w:p>
    <w:p w14:paraId="4827E465" w14:textId="77777777" w:rsidR="00CD6F5A" w:rsidRPr="008E7F8D" w:rsidRDefault="00CD6F5A" w:rsidP="00CD6F5A">
      <w:pPr>
        <w:rPr>
          <w:b/>
          <w:szCs w:val="22"/>
        </w:rPr>
      </w:pPr>
      <w:r w:rsidRPr="009E2935">
        <w:rPr>
          <w:szCs w:val="22"/>
        </w:rPr>
        <w:t xml:space="preserve">If </w:t>
      </w:r>
      <w:r>
        <w:rPr>
          <w:szCs w:val="22"/>
        </w:rPr>
        <w:t>a full financing is requested</w:t>
      </w:r>
      <w:r w:rsidRPr="009E2935">
        <w:rPr>
          <w:szCs w:val="22"/>
        </w:rPr>
        <w:t xml:space="preserve">, the lead applicant must justify </w:t>
      </w:r>
      <w:r>
        <w:rPr>
          <w:szCs w:val="22"/>
        </w:rPr>
        <w:t>it</w:t>
      </w:r>
      <w:r w:rsidRPr="009E2935">
        <w:rPr>
          <w:szCs w:val="22"/>
        </w:rPr>
        <w:t xml:space="preserve"> in Annex A.2, section 2.1. The validity of the justification provided will be examined during the evaluation procedure. </w:t>
      </w:r>
      <w:r w:rsidRPr="008E7F8D">
        <w:rPr>
          <w:b/>
          <w:szCs w:val="22"/>
        </w:rPr>
        <w:t xml:space="preserve">The absence of any justification may lead to the rejection of the application.  </w:t>
      </w:r>
    </w:p>
    <w:p w14:paraId="32C00E1F" w14:textId="77777777" w:rsidR="00777617" w:rsidRDefault="00777617" w:rsidP="00777617"/>
    <w:p w14:paraId="0CEA9627" w14:textId="77777777" w:rsidR="0007408E" w:rsidRPr="00807DAF" w:rsidRDefault="00267E4F" w:rsidP="000C1BF8">
      <w:pPr>
        <w:pStyle w:val="Guidelines1"/>
      </w:pPr>
      <w:r w:rsidRPr="00807DAF">
        <w:br w:type="page"/>
      </w:r>
      <w:bookmarkStart w:id="4" w:name="_Toc487024636"/>
      <w:r w:rsidR="0007408E" w:rsidRPr="00807DAF">
        <w:lastRenderedPageBreak/>
        <w:t xml:space="preserve">Rules </w:t>
      </w:r>
      <w:r w:rsidR="0024146B" w:rsidRPr="00807DAF">
        <w:t xml:space="preserve">FOR </w:t>
      </w:r>
      <w:r w:rsidR="0007408E" w:rsidRPr="00807DAF">
        <w:t>thIS call for proposalS</w:t>
      </w:r>
      <w:bookmarkEnd w:id="4"/>
    </w:p>
    <w:p w14:paraId="1E8F164F" w14:textId="6E4E4396" w:rsidR="0007408E" w:rsidRPr="00807DAF" w:rsidRDefault="0007408E" w:rsidP="006A6D38">
      <w:r w:rsidRPr="00807DAF">
        <w:t xml:space="preserve">These guidelines set out the rules for </w:t>
      </w:r>
      <w:r w:rsidR="008A6F06" w:rsidRPr="00807DAF">
        <w:t xml:space="preserve">the </w:t>
      </w:r>
      <w:r w:rsidRPr="00807DAF">
        <w:t>submi</w:t>
      </w:r>
      <w:r w:rsidR="008A6F06" w:rsidRPr="00807DAF">
        <w:t>ssion</w:t>
      </w:r>
      <w:r w:rsidRPr="00807DAF">
        <w:t>, selecti</w:t>
      </w:r>
      <w:r w:rsidR="008A6F06" w:rsidRPr="00807DAF">
        <w:t>on</w:t>
      </w:r>
      <w:r w:rsidRPr="00807DAF">
        <w:t xml:space="preserve"> and implement</w:t>
      </w:r>
      <w:r w:rsidR="008A6F06" w:rsidRPr="00807DAF">
        <w:t>ation of</w:t>
      </w:r>
      <w:r w:rsidR="00AA424B" w:rsidRPr="00807DAF">
        <w:t xml:space="preserve"> the</w:t>
      </w:r>
      <w:r w:rsidRPr="00807DAF">
        <w:t xml:space="preserve"> actions financed under th</w:t>
      </w:r>
      <w:r w:rsidR="00E359F9" w:rsidRPr="00807DAF">
        <w:t xml:space="preserve">is </w:t>
      </w:r>
      <w:r w:rsidR="004E1029">
        <w:t>c</w:t>
      </w:r>
      <w:r w:rsidR="00E359F9" w:rsidRPr="00807DAF">
        <w:t>all</w:t>
      </w:r>
      <w:r w:rsidRPr="00807DAF">
        <w:t>, in conformity with the Practical Guide</w:t>
      </w:r>
      <w:r w:rsidR="009E6254" w:rsidRPr="00807DAF">
        <w:t>, which is applicable to the present call</w:t>
      </w:r>
      <w:r w:rsidR="001A3FE1" w:rsidRPr="00807DAF">
        <w:t xml:space="preserve"> (</w:t>
      </w:r>
      <w:r w:rsidR="00087373" w:rsidRPr="00807DAF">
        <w:t>a</w:t>
      </w:r>
      <w:r w:rsidR="001A3FE1" w:rsidRPr="00807DAF">
        <w:t xml:space="preserve">vailable </w:t>
      </w:r>
      <w:r w:rsidR="00902129">
        <w:t>at</w:t>
      </w:r>
      <w:r w:rsidR="006A6D38">
        <w:t xml:space="preserve"> </w:t>
      </w:r>
      <w:hyperlink r:id="rId19" w:history="1">
        <w:r w:rsidR="006A6D38" w:rsidRPr="006A6D38">
          <w:rPr>
            <w:rStyle w:val="Hyperlink"/>
            <w:snapToGrid w:val="0"/>
          </w:rPr>
          <w:t>http://ec.europa.eu/europeaid/prag/document.do?locale=en</w:t>
        </w:r>
      </w:hyperlink>
      <w:r w:rsidR="001A3FE1" w:rsidRPr="00807DAF">
        <w:t>)</w:t>
      </w:r>
      <w:r w:rsidR="00ED4A88" w:rsidRPr="00807DAF">
        <w:t>.</w:t>
      </w:r>
    </w:p>
    <w:p w14:paraId="72579AC1" w14:textId="77777777" w:rsidR="0007408E" w:rsidRPr="00807DAF" w:rsidRDefault="0007408E" w:rsidP="000C1BF8">
      <w:pPr>
        <w:pStyle w:val="Guidelines2"/>
      </w:pPr>
      <w:bookmarkStart w:id="5" w:name="_Toc487024637"/>
      <w:r w:rsidRPr="00807DAF">
        <w:t>Eligibility criteria</w:t>
      </w:r>
      <w:bookmarkEnd w:id="5"/>
    </w:p>
    <w:p w14:paraId="25D8D7F3" w14:textId="77777777" w:rsidR="0007408E" w:rsidRPr="00807DAF" w:rsidRDefault="0007408E" w:rsidP="0099312E">
      <w:r w:rsidRPr="00807DAF">
        <w:t>There are three sets of eligibility criteria, relating to:</w:t>
      </w:r>
    </w:p>
    <w:p w14:paraId="0AE14618" w14:textId="77777777" w:rsidR="003477DE" w:rsidRPr="00807DAF" w:rsidRDefault="00296A25" w:rsidP="007A0900">
      <w:pPr>
        <w:numPr>
          <w:ilvl w:val="0"/>
          <w:numId w:val="25"/>
        </w:numPr>
      </w:pPr>
      <w:r w:rsidRPr="00807DAF">
        <w:t>the actors:</w:t>
      </w:r>
    </w:p>
    <w:p w14:paraId="7F4ABEC3" w14:textId="77777777" w:rsidR="003477DE" w:rsidRPr="00807DAF" w:rsidRDefault="006A36F9" w:rsidP="007A0900">
      <w:pPr>
        <w:numPr>
          <w:ilvl w:val="0"/>
          <w:numId w:val="16"/>
        </w:numPr>
        <w:ind w:left="1134"/>
      </w:pPr>
      <w:r w:rsidRPr="00807DAF">
        <w:t xml:space="preserve">The </w:t>
      </w:r>
      <w:r w:rsidR="003153CB">
        <w:rPr>
          <w:b/>
        </w:rPr>
        <w:t>lead a</w:t>
      </w:r>
      <w:r w:rsidRPr="00807DAF">
        <w:rPr>
          <w:b/>
        </w:rPr>
        <w:t>pplicant</w:t>
      </w:r>
      <w:r w:rsidRPr="00807DAF">
        <w:t xml:space="preserve">, </w:t>
      </w:r>
      <w:r w:rsidR="00296A25" w:rsidRPr="00807DAF">
        <w:t xml:space="preserve">i.e. </w:t>
      </w:r>
      <w:r w:rsidR="00A31B91" w:rsidRPr="00807DAF">
        <w:t>the entity</w:t>
      </w:r>
      <w:r w:rsidRPr="00807DAF">
        <w:t xml:space="preserve"> </w:t>
      </w:r>
      <w:r w:rsidR="00D54450" w:rsidRPr="00807DAF">
        <w:t>submit</w:t>
      </w:r>
      <w:r w:rsidR="00A31B91" w:rsidRPr="00807DAF">
        <w:t>ting</w:t>
      </w:r>
      <w:r w:rsidR="00D54450" w:rsidRPr="00807DAF">
        <w:t xml:space="preserve"> the application form</w:t>
      </w:r>
      <w:r w:rsidR="00F06309" w:rsidRPr="00807DAF">
        <w:t xml:space="preserve"> (2.1.1),</w:t>
      </w:r>
    </w:p>
    <w:p w14:paraId="718539F2" w14:textId="77777777" w:rsidR="003477DE" w:rsidRPr="00807DAF" w:rsidRDefault="00A31B91" w:rsidP="007A0900">
      <w:pPr>
        <w:numPr>
          <w:ilvl w:val="0"/>
          <w:numId w:val="16"/>
        </w:numPr>
        <w:ind w:left="1134"/>
      </w:pPr>
      <w:r w:rsidRPr="00807DAF">
        <w:t xml:space="preserve">if any, </w:t>
      </w:r>
      <w:r w:rsidR="009901E5" w:rsidRPr="00807DAF">
        <w:t>its</w:t>
      </w:r>
      <w:r w:rsidR="006A36F9" w:rsidRPr="00807DAF">
        <w:t xml:space="preserve"> </w:t>
      </w:r>
      <w:r w:rsidR="006A36F9" w:rsidRPr="00807DAF">
        <w:rPr>
          <w:b/>
        </w:rPr>
        <w:t>co-applicant(s)</w:t>
      </w:r>
      <w:r w:rsidR="006A36F9" w:rsidRPr="00807DAF">
        <w:t xml:space="preserve"> (</w:t>
      </w:r>
      <w:r w:rsidR="006A36F9" w:rsidRPr="00807DAF">
        <w:rPr>
          <w:b/>
          <w:u w:val="single"/>
        </w:rPr>
        <w:t xml:space="preserve">where it </w:t>
      </w:r>
      <w:r w:rsidR="00B254EE" w:rsidRPr="00807DAF">
        <w:rPr>
          <w:b/>
          <w:u w:val="single"/>
        </w:rPr>
        <w:t xml:space="preserve">is </w:t>
      </w:r>
      <w:r w:rsidR="006A36F9" w:rsidRPr="00807DAF">
        <w:rPr>
          <w:b/>
          <w:u w:val="single"/>
        </w:rPr>
        <w:t xml:space="preserve">not specified otherwise the </w:t>
      </w:r>
      <w:r w:rsidR="003153CB">
        <w:rPr>
          <w:b/>
          <w:u w:val="single"/>
        </w:rPr>
        <w:t>lead a</w:t>
      </w:r>
      <w:r w:rsidR="006A36F9" w:rsidRPr="00807DAF">
        <w:rPr>
          <w:b/>
          <w:u w:val="single"/>
        </w:rPr>
        <w:t xml:space="preserve">pplicant and </w:t>
      </w:r>
      <w:r w:rsidR="003477DE" w:rsidRPr="00807DAF">
        <w:rPr>
          <w:b/>
          <w:u w:val="single"/>
        </w:rPr>
        <w:t xml:space="preserve">its </w:t>
      </w:r>
      <w:r w:rsidR="006A36F9" w:rsidRPr="00807DAF">
        <w:rPr>
          <w:b/>
          <w:u w:val="single"/>
        </w:rPr>
        <w:t xml:space="preserve">co-applicant(s) are </w:t>
      </w:r>
      <w:r w:rsidR="009901E5" w:rsidRPr="00807DAF">
        <w:rPr>
          <w:b/>
          <w:u w:val="single"/>
        </w:rPr>
        <w:t xml:space="preserve">hereinafter </w:t>
      </w:r>
      <w:r w:rsidR="006A36F9" w:rsidRPr="00807DAF">
        <w:rPr>
          <w:b/>
          <w:u w:val="single"/>
        </w:rPr>
        <w:t>jointly referred as "</w:t>
      </w:r>
      <w:r w:rsidR="006A36F9" w:rsidRPr="00807DAF">
        <w:rPr>
          <w:b/>
          <w:i/>
          <w:u w:val="single"/>
        </w:rPr>
        <w:t>applicant</w:t>
      </w:r>
      <w:r w:rsidR="008D1F59">
        <w:rPr>
          <w:b/>
          <w:i/>
          <w:u w:val="single"/>
        </w:rPr>
        <w:t>(</w:t>
      </w:r>
      <w:r w:rsidR="006A36F9" w:rsidRPr="00807DAF">
        <w:rPr>
          <w:b/>
          <w:i/>
          <w:u w:val="single"/>
        </w:rPr>
        <w:t>s</w:t>
      </w:r>
      <w:r w:rsidR="008D1F59">
        <w:rPr>
          <w:b/>
          <w:i/>
          <w:u w:val="single"/>
        </w:rPr>
        <w:t>)</w:t>
      </w:r>
      <w:r w:rsidRPr="00807DAF">
        <w:t>")</w:t>
      </w:r>
      <w:r w:rsidR="006A36F9" w:rsidRPr="00807DAF">
        <w:t xml:space="preserve"> (2.1.1), </w:t>
      </w:r>
    </w:p>
    <w:p w14:paraId="1F0CE38A" w14:textId="77777777" w:rsidR="00E95995" w:rsidRPr="00807DAF" w:rsidRDefault="006A36F9" w:rsidP="007A0900">
      <w:pPr>
        <w:numPr>
          <w:ilvl w:val="0"/>
          <w:numId w:val="16"/>
        </w:numPr>
        <w:ind w:left="1134"/>
      </w:pPr>
      <w:proofErr w:type="gramStart"/>
      <w:r w:rsidRPr="00807DAF">
        <w:t>and</w:t>
      </w:r>
      <w:proofErr w:type="gramEnd"/>
      <w:r w:rsidR="00A31B91" w:rsidRPr="00807DAF">
        <w:t>, if any,</w:t>
      </w:r>
      <w:r w:rsidRPr="00807DAF">
        <w:t xml:space="preserve"> </w:t>
      </w:r>
      <w:r w:rsidR="00A31B91" w:rsidRPr="00807DAF">
        <w:rPr>
          <w:b/>
        </w:rPr>
        <w:t>affiliated entity(</w:t>
      </w:r>
      <w:proofErr w:type="spellStart"/>
      <w:r w:rsidR="00A31B91" w:rsidRPr="00807DAF">
        <w:rPr>
          <w:b/>
        </w:rPr>
        <w:t>ies</w:t>
      </w:r>
      <w:proofErr w:type="spellEnd"/>
      <w:r w:rsidR="00A31B91" w:rsidRPr="00807DAF">
        <w:rPr>
          <w:b/>
        </w:rPr>
        <w:t>)</w:t>
      </w:r>
      <w:r w:rsidR="00296A25" w:rsidRPr="00807DAF">
        <w:rPr>
          <w:b/>
        </w:rPr>
        <w:t xml:space="preserve"> </w:t>
      </w:r>
      <w:r w:rsidR="00296A25" w:rsidRPr="00807DAF">
        <w:t xml:space="preserve">to the </w:t>
      </w:r>
      <w:r w:rsidR="003153CB">
        <w:t>lead a</w:t>
      </w:r>
      <w:r w:rsidR="00296A25" w:rsidRPr="00807DAF">
        <w:t xml:space="preserve">pplicant and/or to a co-applicant(s). </w:t>
      </w:r>
      <w:r w:rsidR="00A31B91" w:rsidRPr="00807DAF">
        <w:t>(2.1.</w:t>
      </w:r>
      <w:r w:rsidR="00F06309" w:rsidRPr="00807DAF">
        <w:t>2</w:t>
      </w:r>
      <w:r w:rsidRPr="00807DAF">
        <w:t>);</w:t>
      </w:r>
    </w:p>
    <w:p w14:paraId="4C81EAE4" w14:textId="77777777" w:rsidR="00E95995" w:rsidRPr="00807DAF" w:rsidRDefault="00296A25" w:rsidP="007A0900">
      <w:pPr>
        <w:numPr>
          <w:ilvl w:val="0"/>
          <w:numId w:val="25"/>
        </w:numPr>
      </w:pPr>
      <w:r w:rsidRPr="00807DAF">
        <w:t xml:space="preserve">the </w:t>
      </w:r>
      <w:r w:rsidR="00F06309" w:rsidRPr="00807DAF">
        <w:t>a</w:t>
      </w:r>
      <w:r w:rsidR="006F1CFC" w:rsidRPr="00807DAF">
        <w:t>ctions</w:t>
      </w:r>
      <w:r w:rsidRPr="00807DAF">
        <w:t>:</w:t>
      </w:r>
    </w:p>
    <w:p w14:paraId="2F1D0ACA" w14:textId="77777777" w:rsidR="003477DE" w:rsidRPr="00807DAF" w:rsidRDefault="006F1CFC" w:rsidP="007A0900">
      <w:pPr>
        <w:numPr>
          <w:ilvl w:val="0"/>
          <w:numId w:val="28"/>
        </w:numPr>
      </w:pPr>
      <w:r w:rsidRPr="00807DAF">
        <w:t>Action</w:t>
      </w:r>
      <w:r w:rsidR="00A07623" w:rsidRPr="00807DAF">
        <w:t>s</w:t>
      </w:r>
      <w:r w:rsidR="003477DE" w:rsidRPr="00807DAF">
        <w:t xml:space="preserve"> for which a grant may be awarded (2.1.4);</w:t>
      </w:r>
    </w:p>
    <w:p w14:paraId="0833B8AF" w14:textId="77777777" w:rsidR="00E95995" w:rsidRPr="00807DAF" w:rsidRDefault="00296A25" w:rsidP="007A0900">
      <w:pPr>
        <w:numPr>
          <w:ilvl w:val="0"/>
          <w:numId w:val="25"/>
        </w:numPr>
      </w:pPr>
      <w:r w:rsidRPr="00807DAF">
        <w:t>the costs:</w:t>
      </w:r>
    </w:p>
    <w:p w14:paraId="4340C81F" w14:textId="77777777" w:rsidR="00267E4F" w:rsidRDefault="0007408E" w:rsidP="007A0900">
      <w:pPr>
        <w:numPr>
          <w:ilvl w:val="0"/>
          <w:numId w:val="16"/>
        </w:numPr>
        <w:ind w:left="1134"/>
      </w:pPr>
      <w:proofErr w:type="gramStart"/>
      <w:r w:rsidRPr="00807DAF">
        <w:t>types</w:t>
      </w:r>
      <w:proofErr w:type="gramEnd"/>
      <w:r w:rsidRPr="00807DAF">
        <w:t xml:space="preserve"> of cost </w:t>
      </w:r>
      <w:r w:rsidR="00AA424B" w:rsidRPr="00807DAF">
        <w:t xml:space="preserve">that </w:t>
      </w:r>
      <w:r w:rsidRPr="00807DAF">
        <w:t>may be taken into account in setting the amount of the grant</w:t>
      </w:r>
      <w:r w:rsidR="0032711C" w:rsidRPr="00807DAF">
        <w:t xml:space="preserve"> (2.1.</w:t>
      </w:r>
      <w:r w:rsidR="00B971F7" w:rsidRPr="00807DAF">
        <w:t>5</w:t>
      </w:r>
      <w:r w:rsidR="0032711C" w:rsidRPr="00807DAF">
        <w:t>)</w:t>
      </w:r>
      <w:r w:rsidRPr="00807DAF">
        <w:t>.</w:t>
      </w:r>
    </w:p>
    <w:p w14:paraId="274A3018" w14:textId="77777777" w:rsidR="00734BB4" w:rsidRPr="00807DAF" w:rsidRDefault="00734BB4" w:rsidP="00734BB4"/>
    <w:p w14:paraId="6423D299" w14:textId="77777777" w:rsidR="0007408E" w:rsidRPr="00807DAF" w:rsidRDefault="0007408E" w:rsidP="007A0900">
      <w:pPr>
        <w:pStyle w:val="Guidelines3"/>
        <w:numPr>
          <w:ilvl w:val="2"/>
          <w:numId w:val="15"/>
        </w:numPr>
      </w:pPr>
      <w:bookmarkStart w:id="6" w:name="_Toc487024638"/>
      <w:r w:rsidRPr="00807DAF">
        <w:t>Eligibility of applicant</w:t>
      </w:r>
      <w:r w:rsidR="00A2450D" w:rsidRPr="00807DAF">
        <w:t>s</w:t>
      </w:r>
      <w:r w:rsidR="00C4172B" w:rsidRPr="00807DAF">
        <w:t xml:space="preserve"> (i.e. </w:t>
      </w:r>
      <w:r w:rsidR="003153CB">
        <w:t>lead a</w:t>
      </w:r>
      <w:r w:rsidR="00C4172B" w:rsidRPr="00807DAF">
        <w:t>pplicant and co-applicant(s))</w:t>
      </w:r>
      <w:bookmarkEnd w:id="6"/>
    </w:p>
    <w:p w14:paraId="4D53152B" w14:textId="77777777" w:rsidR="004127BD" w:rsidRPr="00807DAF" w:rsidRDefault="00A511A0" w:rsidP="006E0555">
      <w:pPr>
        <w:spacing w:before="240"/>
      </w:pPr>
      <w:r>
        <w:rPr>
          <w:b/>
        </w:rPr>
        <w:t>Lead a</w:t>
      </w:r>
      <w:r w:rsidR="004127BD" w:rsidRPr="00807DAF">
        <w:rPr>
          <w:b/>
        </w:rPr>
        <w:t>pplicant</w:t>
      </w:r>
    </w:p>
    <w:p w14:paraId="075FE772" w14:textId="77777777" w:rsidR="00734BB4" w:rsidRDefault="00734BB4" w:rsidP="00734BB4">
      <w:pPr>
        <w:ind w:left="426" w:hanging="426"/>
      </w:pPr>
      <w:r>
        <w:t>(1)</w:t>
      </w:r>
      <w:r>
        <w:tab/>
        <w:t>In order to be eligible for a grant, the lead applicant must:</w:t>
      </w:r>
    </w:p>
    <w:p w14:paraId="053EA535" w14:textId="7349703B" w:rsidR="00734BB4" w:rsidRDefault="00734BB4" w:rsidP="00455615">
      <w:pPr>
        <w:numPr>
          <w:ilvl w:val="0"/>
          <w:numId w:val="59"/>
        </w:numPr>
        <w:ind w:left="426"/>
      </w:pPr>
      <w:r>
        <w:t>be a legal person or an entity without legal personality</w:t>
      </w:r>
      <w:r w:rsidR="00CD6F5A">
        <w:rPr>
          <w:rStyle w:val="FootnoteReference"/>
        </w:rPr>
        <w:footnoteReference w:id="30"/>
      </w:r>
      <w:r>
        <w:t xml:space="preserve"> or a natural person and </w:t>
      </w:r>
    </w:p>
    <w:p w14:paraId="4F549CD9" w14:textId="36E32F19" w:rsidR="00734BB4" w:rsidRDefault="00734BB4" w:rsidP="00455615">
      <w:pPr>
        <w:numPr>
          <w:ilvl w:val="0"/>
          <w:numId w:val="59"/>
        </w:numPr>
        <w:ind w:left="426"/>
      </w:pPr>
      <w:r>
        <w:t>be non-profit-making and</w:t>
      </w:r>
    </w:p>
    <w:p w14:paraId="7C120C51" w14:textId="44929C56" w:rsidR="00734BB4" w:rsidRDefault="00734BB4" w:rsidP="00455615">
      <w:pPr>
        <w:numPr>
          <w:ilvl w:val="0"/>
          <w:numId w:val="59"/>
        </w:numPr>
        <w:ind w:left="426"/>
      </w:pPr>
      <w:r>
        <w:t xml:space="preserve">be a specific type of organisation such as: </w:t>
      </w:r>
    </w:p>
    <w:p w14:paraId="5B6F774F" w14:textId="41B7CD60" w:rsidR="00734BB4" w:rsidRDefault="00734BB4" w:rsidP="00734BB4">
      <w:pPr>
        <w:ind w:left="426"/>
      </w:pPr>
      <w:r>
        <w:t>a)</w:t>
      </w:r>
      <w:r>
        <w:tab/>
        <w:t>civil society organisations</w:t>
      </w:r>
      <w:r w:rsidR="00455615">
        <w:rPr>
          <w:rStyle w:val="FootnoteReference"/>
        </w:rPr>
        <w:footnoteReference w:id="31"/>
      </w:r>
      <w:r>
        <w:t>, including non-governmental non-profit organisations and independent political foundations, community-based organisations</w:t>
      </w:r>
      <w:r w:rsidR="003B5358">
        <w:t xml:space="preserve">, indigenous peoples’ </w:t>
      </w:r>
      <w:r w:rsidR="003B5358">
        <w:lastRenderedPageBreak/>
        <w:t>organisations, disabled persons organisations</w:t>
      </w:r>
      <w:r>
        <w:t xml:space="preserve"> and private-sector non-profit agencies, institutions and organisations and networks thereof at local, national, regional and international level;</w:t>
      </w:r>
    </w:p>
    <w:p w14:paraId="5E410384" w14:textId="77777777" w:rsidR="00734BB4" w:rsidRDefault="00734BB4" w:rsidP="00734BB4">
      <w:pPr>
        <w:ind w:left="426"/>
      </w:pPr>
      <w:r>
        <w:t>b)</w:t>
      </w:r>
      <w:r>
        <w:tab/>
        <w:t>National Human Rights Institutions, Ombudspersons;</w:t>
      </w:r>
    </w:p>
    <w:p w14:paraId="7F30B56B" w14:textId="77777777" w:rsidR="00734BB4" w:rsidRDefault="00734BB4" w:rsidP="00455615">
      <w:pPr>
        <w:ind w:left="426"/>
      </w:pPr>
      <w:r>
        <w:t>c)</w:t>
      </w:r>
      <w:r>
        <w:tab/>
      </w:r>
      <w:proofErr w:type="gramStart"/>
      <w:r>
        <w:t>non-profit-making</w:t>
      </w:r>
      <w:proofErr w:type="gramEnd"/>
      <w:r>
        <w:t xml:space="preserve"> universities and</w:t>
      </w:r>
    </w:p>
    <w:p w14:paraId="0AACBB3E" w14:textId="02B811F4" w:rsidR="00734BB4" w:rsidRDefault="00734BB4" w:rsidP="00455615">
      <w:pPr>
        <w:numPr>
          <w:ilvl w:val="0"/>
          <w:numId w:val="59"/>
        </w:numPr>
        <w:ind w:left="426"/>
      </w:pPr>
      <w:r>
        <w:t xml:space="preserve">Be directly responsible for the preparation and management of the action with the co-applicant(s) and affiliated </w:t>
      </w:r>
      <w:proofErr w:type="gramStart"/>
      <w:r>
        <w:t>entity(</w:t>
      </w:r>
      <w:proofErr w:type="spellStart"/>
      <w:proofErr w:type="gramEnd"/>
      <w:r>
        <w:t>ies</w:t>
      </w:r>
      <w:proofErr w:type="spellEnd"/>
      <w:r>
        <w:t>), not acting as an intermediary.</w:t>
      </w:r>
    </w:p>
    <w:p w14:paraId="1F97E642" w14:textId="77777777" w:rsidR="00734BB4" w:rsidRDefault="00734BB4" w:rsidP="00734BB4">
      <w:r>
        <w:t>For-profit organisations may also be eligible in exceptional and duly justified cases. Indeed, in situations where registration or receipt of foreign funding as non-profit organisation is made very difficult or might put the entity in danger, civil society organisations may be obliged to register as for-profit organisations to continue operating in the field of human rights. The validity of the justification will be examined by the Evaluation Committee.</w:t>
      </w:r>
    </w:p>
    <w:p w14:paraId="21693650" w14:textId="294D5C91" w:rsidR="00734BB4" w:rsidRDefault="00734BB4" w:rsidP="00734BB4">
      <w:r>
        <w:t xml:space="preserve">International public-sector organisations set up by international agreements, specialised agencies set up by such organisations and other organisations assimilated to such international organisations (i.e. the International Committee of the Red Cross and the International Federation of National Red Cross and Red Crescent Societies) are not eligible under this call for proposals. </w:t>
      </w:r>
      <w:r w:rsidR="00471CAE">
        <w:t>United Nations agencies are not eligible</w:t>
      </w:r>
      <w:r w:rsidR="00C50454">
        <w:t xml:space="preserve"> under this call for proposals</w:t>
      </w:r>
      <w:r w:rsidR="00471CAE">
        <w:t xml:space="preserve">. </w:t>
      </w:r>
    </w:p>
    <w:p w14:paraId="5C5567B6" w14:textId="77777777" w:rsidR="00734BB4" w:rsidRDefault="00734BB4" w:rsidP="00734BB4">
      <w:pPr>
        <w:ind w:left="426" w:hanging="426"/>
      </w:pPr>
      <w:r w:rsidRPr="00734BB4">
        <w:rPr>
          <w:b/>
        </w:rPr>
        <w:t>No nationality restriction applies to applicants and, if any, to co-applicants and affiliated entities</w:t>
      </w:r>
      <w:r>
        <w:t xml:space="preserve">. </w:t>
      </w:r>
    </w:p>
    <w:p w14:paraId="5378AA5A" w14:textId="77777777" w:rsidR="00734BB4" w:rsidRDefault="00734BB4" w:rsidP="00734BB4">
      <w:r>
        <w:t xml:space="preserve"> (2)</w:t>
      </w:r>
      <w:r>
        <w:tab/>
        <w:t>Potential applicants may not participate in calls for proposals or be awarded grants if they are in any of the situations listed in section 2.3.3 of the Practical Guide;</w:t>
      </w:r>
    </w:p>
    <w:p w14:paraId="572C147D" w14:textId="77777777" w:rsidR="00734BB4" w:rsidRDefault="00734BB4" w:rsidP="00734BB4">
      <w:r>
        <w:t xml:space="preserve">In Annex A.2, section 5 (‘declaration by the lead applicant’), the lead applicant must declare that the lead applicant himself, the co-applicant(s) and affiliated </w:t>
      </w:r>
      <w:proofErr w:type="gramStart"/>
      <w:r>
        <w:t>entity(</w:t>
      </w:r>
      <w:proofErr w:type="spellStart"/>
      <w:proofErr w:type="gramEnd"/>
      <w:r>
        <w:t>ies</w:t>
      </w:r>
      <w:proofErr w:type="spellEnd"/>
      <w:r>
        <w:t>) are not in any of these situations.</w:t>
      </w:r>
    </w:p>
    <w:p w14:paraId="511AD86D" w14:textId="77777777" w:rsidR="00734BB4" w:rsidRDefault="00734BB4" w:rsidP="00734BB4">
      <w:r>
        <w:t xml:space="preserve">The lead applicant may act individually or with co-applicant(s). However, to be eligible, an action must include at </w:t>
      </w:r>
      <w:r w:rsidRPr="00684F0E">
        <w:rPr>
          <w:b/>
        </w:rPr>
        <w:t>least one local organisation</w:t>
      </w:r>
      <w:r>
        <w:t>, as lead applicant or co-applicant.</w:t>
      </w:r>
    </w:p>
    <w:p w14:paraId="0DED9F59" w14:textId="77777777" w:rsidR="00734BB4" w:rsidRDefault="00734BB4" w:rsidP="00734BB4">
      <w:r>
        <w:t xml:space="preserve">A "local organisation" (with or without legal personality) must be understood as "established" in the country or one of the countries outside EU where the action is taking place. An organisation is considered "local" when its charter demonstrates that the organisation has been established by an instrument governed by the national law of the country concerned (only for entities with legal personality) and that its head office is located in that country. </w:t>
      </w:r>
      <w:r>
        <w:tab/>
      </w:r>
    </w:p>
    <w:p w14:paraId="7006D353" w14:textId="77777777" w:rsidR="00734BB4" w:rsidRDefault="00734BB4" w:rsidP="00734BB4">
      <w:r>
        <w:t xml:space="preserve">In situations where registration in the concerned country is made impossible or might put the applicant or co-applicant in danger, the applicant or co-applicant may be registered in another country. The applicant or co-applicant must prove in its statutes or through other supporting documents that the objectives and activities of the said organisation are for the benefit of the targeted country. In the absence of any justification, the proposal will be rejected. The validity of the justification provided will be examined </w:t>
      </w:r>
      <w:r>
        <w:lastRenderedPageBreak/>
        <w:t>during the evaluation procedure. Should the justification not be deemed valid, the proposal may be rejected on that sole basis.</w:t>
      </w:r>
    </w:p>
    <w:p w14:paraId="06FBEE05" w14:textId="77AF0EE1" w:rsidR="00EC15B5" w:rsidRPr="002469D0" w:rsidRDefault="001E7245" w:rsidP="002469D0">
      <w:pPr>
        <w:numPr>
          <w:ilvl w:val="0"/>
          <w:numId w:val="59"/>
        </w:numPr>
        <w:rPr>
          <w:b/>
        </w:rPr>
      </w:pPr>
      <w:r w:rsidRPr="002469D0">
        <w:rPr>
          <w:b/>
        </w:rPr>
        <w:t>When the</w:t>
      </w:r>
      <w:r w:rsidR="00765F0D">
        <w:rPr>
          <w:b/>
        </w:rPr>
        <w:t xml:space="preserve"> lead</w:t>
      </w:r>
      <w:r w:rsidRPr="002469D0">
        <w:rPr>
          <w:b/>
        </w:rPr>
        <w:t xml:space="preserve"> applicant is not a local organisation, it must act with at least one local co-applicant</w:t>
      </w:r>
      <w:r w:rsidR="00A6469E">
        <w:rPr>
          <w:b/>
        </w:rPr>
        <w:t>,</w:t>
      </w:r>
      <w:r w:rsidR="002469D0" w:rsidRPr="002469D0">
        <w:t xml:space="preserve"> </w:t>
      </w:r>
      <w:r w:rsidR="002469D0">
        <w:rPr>
          <w:b/>
        </w:rPr>
        <w:t xml:space="preserve">except when </w:t>
      </w:r>
      <w:r w:rsidR="002469D0" w:rsidRPr="002469D0">
        <w:rPr>
          <w:b/>
        </w:rPr>
        <w:t>the project's activities are</w:t>
      </w:r>
      <w:r w:rsidR="002469D0">
        <w:rPr>
          <w:b/>
        </w:rPr>
        <w:t xml:space="preserve"> taking place </w:t>
      </w:r>
      <w:r w:rsidR="002469D0" w:rsidRPr="002469D0">
        <w:rPr>
          <w:b/>
        </w:rPr>
        <w:t xml:space="preserve"> in a country in which local organisations cannot operate</w:t>
      </w:r>
      <w:r w:rsidR="002469D0">
        <w:rPr>
          <w:rStyle w:val="FootnoteReference"/>
          <w:b/>
        </w:rPr>
        <w:footnoteReference w:id="32"/>
      </w:r>
      <w:r w:rsidR="002469D0">
        <w:rPr>
          <w:b/>
        </w:rPr>
        <w:t xml:space="preserve"> </w:t>
      </w:r>
    </w:p>
    <w:p w14:paraId="2A45DFBF" w14:textId="2884ECC2" w:rsidR="00EC15B5" w:rsidRPr="002469D0" w:rsidRDefault="00EC15B5" w:rsidP="002469D0">
      <w:pPr>
        <w:numPr>
          <w:ilvl w:val="0"/>
          <w:numId w:val="59"/>
        </w:numPr>
        <w:rPr>
          <w:b/>
        </w:rPr>
      </w:pPr>
      <w:r w:rsidRPr="002469D0">
        <w:rPr>
          <w:b/>
        </w:rPr>
        <w:t xml:space="preserve">When the lead applicant is a regional network/platform of </w:t>
      </w:r>
      <w:r w:rsidRPr="00786FD8">
        <w:rPr>
          <w:b/>
          <w:u w:val="single"/>
        </w:rPr>
        <w:t>local organisations</w:t>
      </w:r>
      <w:r w:rsidRPr="00786FD8">
        <w:rPr>
          <w:b/>
        </w:rPr>
        <w:t xml:space="preserve"> established in one of the countries where the action is taking </w:t>
      </w:r>
      <w:r w:rsidRPr="002469D0">
        <w:rPr>
          <w:b/>
        </w:rPr>
        <w:t>place</w:t>
      </w:r>
      <w:r w:rsidR="001E7245" w:rsidRPr="002469D0">
        <w:rPr>
          <w:b/>
        </w:rPr>
        <w:t xml:space="preserve"> </w:t>
      </w:r>
      <w:r w:rsidRPr="002469D0">
        <w:rPr>
          <w:b/>
        </w:rPr>
        <w:t xml:space="preserve">it </w:t>
      </w:r>
      <w:r w:rsidR="002469D0" w:rsidRPr="002469D0">
        <w:rPr>
          <w:b/>
        </w:rPr>
        <w:t xml:space="preserve">can </w:t>
      </w:r>
      <w:r w:rsidRPr="002469D0">
        <w:rPr>
          <w:b/>
        </w:rPr>
        <w:t xml:space="preserve">act </w:t>
      </w:r>
      <w:r w:rsidR="002469D0" w:rsidRPr="002469D0">
        <w:rPr>
          <w:b/>
        </w:rPr>
        <w:t xml:space="preserve">without </w:t>
      </w:r>
      <w:r w:rsidRPr="002469D0">
        <w:rPr>
          <w:b/>
        </w:rPr>
        <w:t>local co-applicant</w:t>
      </w:r>
      <w:r w:rsidR="002469D0" w:rsidRPr="002469D0">
        <w:rPr>
          <w:b/>
        </w:rPr>
        <w:t>(s)</w:t>
      </w:r>
      <w:r w:rsidRPr="002469D0">
        <w:rPr>
          <w:b/>
        </w:rPr>
        <w:t>.</w:t>
      </w:r>
    </w:p>
    <w:p w14:paraId="50E6079E" w14:textId="77777777" w:rsidR="00734BB4" w:rsidRDefault="00734BB4" w:rsidP="00734BB4">
      <w:r>
        <w:t>If awarded the grant contract, the lead applicant will become the beneficiary identified as the Coordinator in Annex E3h1 (Special Conditions). The Coordinator is the main interlocutor of the Contracting Authority. It represents and acts on behalf of any other co-beneficiary (if any) and coordinate the design and implementation of the action.</w:t>
      </w:r>
    </w:p>
    <w:p w14:paraId="23BF2AF7" w14:textId="77777777" w:rsidR="00734BB4" w:rsidRPr="00455615" w:rsidRDefault="00734BB4" w:rsidP="00734BB4">
      <w:pPr>
        <w:ind w:left="426" w:hanging="426"/>
        <w:rPr>
          <w:b/>
        </w:rPr>
      </w:pPr>
      <w:r w:rsidRPr="00455615">
        <w:rPr>
          <w:b/>
        </w:rPr>
        <w:t>Co-applicant(s)</w:t>
      </w:r>
    </w:p>
    <w:p w14:paraId="77E01527" w14:textId="77777777" w:rsidR="00734BB4" w:rsidRDefault="00734BB4" w:rsidP="00734BB4">
      <w:r>
        <w:t xml:space="preserve">Co-applicants participate in designing and implementing the action, and the costs they incur are eligible in the same way as those incurred by the lead applicant. </w:t>
      </w:r>
    </w:p>
    <w:p w14:paraId="6A9867AF" w14:textId="77777777" w:rsidR="00734BB4" w:rsidRDefault="00734BB4" w:rsidP="00734BB4">
      <w:r>
        <w:t>Co-applicants must satisfy the eligibility criteria as applicable to the lead applicant.</w:t>
      </w:r>
    </w:p>
    <w:p w14:paraId="73CEA1C7" w14:textId="1BBBAD5A" w:rsidR="00734BB4" w:rsidRDefault="00734BB4" w:rsidP="00734BB4">
      <w:r>
        <w:t xml:space="preserve">Co-applicants must sign the mandate in Annex A.2., </w:t>
      </w:r>
      <w:r w:rsidR="0094709D">
        <w:t>section 5.2</w:t>
      </w:r>
      <w:r w:rsidR="00A6469E">
        <w:t>.</w:t>
      </w:r>
    </w:p>
    <w:p w14:paraId="59213D23" w14:textId="77777777" w:rsidR="00734BB4" w:rsidRDefault="00734BB4" w:rsidP="00734BB4">
      <w:r>
        <w:t xml:space="preserve">If awarded the grant contract, the co-applicant(s) (if any) will become </w:t>
      </w:r>
      <w:proofErr w:type="gramStart"/>
      <w:r>
        <w:t>beneficiary(</w:t>
      </w:r>
      <w:proofErr w:type="spellStart"/>
      <w:proofErr w:type="gramEnd"/>
      <w:r>
        <w:t>ies</w:t>
      </w:r>
      <w:proofErr w:type="spellEnd"/>
      <w:r>
        <w:t xml:space="preserve">) in the action (together with the Coordinator). </w:t>
      </w:r>
    </w:p>
    <w:p w14:paraId="6B334C7E" w14:textId="77777777" w:rsidR="0007408E" w:rsidRPr="00807DAF" w:rsidRDefault="00734BB4" w:rsidP="00734BB4">
      <w:r>
        <w:t xml:space="preserve"> </w:t>
      </w:r>
      <w:r w:rsidR="006E0555" w:rsidRPr="00807DAF">
        <w:t>(1)</w:t>
      </w:r>
      <w:r w:rsidR="006E0555" w:rsidRPr="00807DAF">
        <w:tab/>
      </w:r>
      <w:r w:rsidR="006A36F9" w:rsidRPr="00807DAF">
        <w:t xml:space="preserve">In order to be eligible for a grant, the </w:t>
      </w:r>
      <w:r w:rsidR="003153CB">
        <w:t>lead a</w:t>
      </w:r>
      <w:r w:rsidR="006A36F9" w:rsidRPr="00807DAF">
        <w:t>pplicant must:</w:t>
      </w:r>
    </w:p>
    <w:p w14:paraId="2A0A6361" w14:textId="77777777" w:rsidR="00914462" w:rsidRPr="00807DAF" w:rsidRDefault="00914462" w:rsidP="007A0900">
      <w:pPr>
        <w:pStyle w:val="Guidelines3"/>
        <w:numPr>
          <w:ilvl w:val="2"/>
          <w:numId w:val="15"/>
        </w:numPr>
      </w:pPr>
      <w:bookmarkStart w:id="7" w:name="_Toc487024639"/>
      <w:r w:rsidRPr="00807DAF">
        <w:t>Affiliated entities</w:t>
      </w:r>
      <w:bookmarkEnd w:id="7"/>
    </w:p>
    <w:p w14:paraId="6B933F67" w14:textId="72E57D4D" w:rsidR="00A07623" w:rsidRPr="00734BB4" w:rsidRDefault="00A07623" w:rsidP="006B6048">
      <w:r w:rsidRPr="00734BB4">
        <w:t xml:space="preserve">The </w:t>
      </w:r>
      <w:r w:rsidR="003153CB" w:rsidRPr="00734BB4">
        <w:t>lead a</w:t>
      </w:r>
      <w:r w:rsidRPr="00734BB4">
        <w:t xml:space="preserve">pplicant and its co-applicant(s) may act with affiliated </w:t>
      </w:r>
      <w:proofErr w:type="gramStart"/>
      <w:r w:rsidRPr="00734BB4">
        <w:t>entity(</w:t>
      </w:r>
      <w:proofErr w:type="spellStart"/>
      <w:proofErr w:type="gramEnd"/>
      <w:r w:rsidRPr="00734BB4">
        <w:t>ies</w:t>
      </w:r>
      <w:proofErr w:type="spellEnd"/>
      <w:r w:rsidRPr="00734BB4">
        <w:t>)</w:t>
      </w:r>
      <w:r w:rsidR="006F787C">
        <w:t>.</w:t>
      </w:r>
    </w:p>
    <w:p w14:paraId="0AF430FB" w14:textId="77777777" w:rsidR="00914462" w:rsidRPr="00B4103F" w:rsidRDefault="003477DE" w:rsidP="006B6048">
      <w:r w:rsidRPr="00B4103F">
        <w:rPr>
          <w:b/>
        </w:rPr>
        <w:t xml:space="preserve">Only the </w:t>
      </w:r>
      <w:r w:rsidR="00914462" w:rsidRPr="00B4103F">
        <w:rPr>
          <w:b/>
        </w:rPr>
        <w:t xml:space="preserve">following entities may be considered as affiliated entities to the </w:t>
      </w:r>
      <w:r w:rsidR="003153CB">
        <w:rPr>
          <w:b/>
        </w:rPr>
        <w:t>lead a</w:t>
      </w:r>
      <w:r w:rsidR="00914462" w:rsidRPr="00B4103F">
        <w:rPr>
          <w:b/>
        </w:rPr>
        <w:t xml:space="preserve">pplicant </w:t>
      </w:r>
      <w:r w:rsidR="00E86372" w:rsidRPr="00B4103F">
        <w:rPr>
          <w:b/>
        </w:rPr>
        <w:t>and/</w:t>
      </w:r>
      <w:r w:rsidR="00914462" w:rsidRPr="00B4103F">
        <w:rPr>
          <w:b/>
        </w:rPr>
        <w:t>or to co-applicant(s):</w:t>
      </w:r>
    </w:p>
    <w:p w14:paraId="5507C980" w14:textId="77777777" w:rsidR="005E7A18" w:rsidRPr="00B4103F" w:rsidRDefault="005E7A18" w:rsidP="005E7A18">
      <w:pPr>
        <w:keepNext/>
        <w:spacing w:line="276" w:lineRule="auto"/>
      </w:pPr>
      <w:proofErr w:type="gramStart"/>
      <w:r w:rsidRPr="00B4103F">
        <w:t>Only entities having a structural link with the applicants</w:t>
      </w:r>
      <w:r w:rsidR="003153CB">
        <w:t xml:space="preserve"> (i.e. the lead a</w:t>
      </w:r>
      <w:r w:rsidR="004E1029">
        <w:t>pplicant or a co-applicant)</w:t>
      </w:r>
      <w:r w:rsidRPr="00B4103F">
        <w:t>, in particular a legal or capital link.</w:t>
      </w:r>
      <w:proofErr w:type="gramEnd"/>
    </w:p>
    <w:p w14:paraId="26CA15CF" w14:textId="77777777" w:rsidR="005E7A18" w:rsidRPr="00B4103F" w:rsidRDefault="005E7A18" w:rsidP="005E7A18">
      <w:pPr>
        <w:spacing w:line="276" w:lineRule="auto"/>
      </w:pPr>
      <w:r w:rsidRPr="00B4103F">
        <w:t>This structural link encompasses mainly two notions:</w:t>
      </w:r>
    </w:p>
    <w:p w14:paraId="31B365AA" w14:textId="77777777" w:rsidR="005E7A18" w:rsidRPr="00B4103F" w:rsidRDefault="005E7A18" w:rsidP="005E7A18">
      <w:pPr>
        <w:spacing w:line="276" w:lineRule="auto"/>
        <w:ind w:left="720" w:hanging="567"/>
      </w:pPr>
      <w:r w:rsidRPr="00B4103F">
        <w:t xml:space="preserve">(i) </w:t>
      </w:r>
      <w:r w:rsidRPr="00B4103F">
        <w:tab/>
        <w:t>Control, as defined in Directive 2013/34/EU on the annual financial statements, consolidated financial statements and related reports of certain types of undertakings:</w:t>
      </w:r>
    </w:p>
    <w:p w14:paraId="4A4FFED4" w14:textId="77777777" w:rsidR="005E7A18" w:rsidRPr="00B4103F" w:rsidRDefault="005E7A18" w:rsidP="00807DAF">
      <w:pPr>
        <w:spacing w:after="0" w:line="276" w:lineRule="auto"/>
        <w:ind w:left="851"/>
      </w:pPr>
      <w:r w:rsidRPr="00B4103F">
        <w:t>Entities affiliated to</w:t>
      </w:r>
      <w:r w:rsidR="00757ACE">
        <w:t xml:space="preserve"> applicant m</w:t>
      </w:r>
      <w:r w:rsidRPr="00B4103F">
        <w:t>ay hence be:</w:t>
      </w:r>
    </w:p>
    <w:p w14:paraId="79EFDD35" w14:textId="77777777" w:rsidR="005E7A18" w:rsidRPr="00B4103F" w:rsidRDefault="005E7A18" w:rsidP="007A0900">
      <w:pPr>
        <w:numPr>
          <w:ilvl w:val="0"/>
          <w:numId w:val="26"/>
        </w:numPr>
        <w:spacing w:after="0" w:line="276" w:lineRule="auto"/>
        <w:ind w:left="1276" w:hanging="283"/>
      </w:pPr>
      <w:r w:rsidRPr="00B4103F">
        <w:t xml:space="preserve">Entities directly or indirectly controlled by </w:t>
      </w:r>
      <w:r w:rsidR="0065158A">
        <w:t>an</w:t>
      </w:r>
      <w:r w:rsidRPr="00B4103F">
        <w:t xml:space="preserve"> </w:t>
      </w:r>
      <w:r w:rsidR="00EA56A3">
        <w:t>applicant</w:t>
      </w:r>
      <w:r w:rsidR="00EA56A3" w:rsidRPr="00B4103F">
        <w:t xml:space="preserve"> </w:t>
      </w:r>
      <w:r w:rsidRPr="00B4103F">
        <w:t xml:space="preserve">(daughter companies or first-tier subsidiaries). They may also be entities controlled by an entity controlled by </w:t>
      </w:r>
      <w:r w:rsidR="004E1029">
        <w:t xml:space="preserve">an </w:t>
      </w:r>
      <w:r w:rsidR="00757ACE">
        <w:t>applicant</w:t>
      </w:r>
      <w:r w:rsidR="00EA56A3" w:rsidRPr="00B4103F">
        <w:t xml:space="preserve"> </w:t>
      </w:r>
      <w:r w:rsidRPr="00B4103F">
        <w:t>(granddaughter companies or second-tier subsidiaries) and the same applies to further tiers of control;</w:t>
      </w:r>
    </w:p>
    <w:p w14:paraId="0206446D" w14:textId="77777777" w:rsidR="005E7A18" w:rsidRPr="00B4103F" w:rsidRDefault="005E7A18" w:rsidP="007A0900">
      <w:pPr>
        <w:numPr>
          <w:ilvl w:val="0"/>
          <w:numId w:val="26"/>
        </w:numPr>
        <w:spacing w:after="0" w:line="276" w:lineRule="auto"/>
        <w:ind w:left="1276" w:hanging="283"/>
      </w:pPr>
      <w:r w:rsidRPr="00B4103F">
        <w:lastRenderedPageBreak/>
        <w:t>Entities directly or indirectly controlling the</w:t>
      </w:r>
      <w:r w:rsidR="00E611E9">
        <w:t xml:space="preserve"> </w:t>
      </w:r>
      <w:r w:rsidR="00EA56A3">
        <w:t>applicant</w:t>
      </w:r>
      <w:r w:rsidR="00EA56A3" w:rsidRPr="00B4103F">
        <w:t xml:space="preserve"> </w:t>
      </w:r>
      <w:r w:rsidRPr="00B4103F">
        <w:t xml:space="preserve">(parent companies). Likewise, they may be entities controlling an entity controlling the </w:t>
      </w:r>
      <w:r w:rsidR="00EA56A3">
        <w:t>applicant</w:t>
      </w:r>
      <w:r w:rsidRPr="00B4103F">
        <w:t>;</w:t>
      </w:r>
    </w:p>
    <w:p w14:paraId="457BBAFA" w14:textId="77777777" w:rsidR="005E7A18" w:rsidRPr="00B4103F" w:rsidRDefault="005E7A18" w:rsidP="007A0900">
      <w:pPr>
        <w:numPr>
          <w:ilvl w:val="0"/>
          <w:numId w:val="26"/>
        </w:numPr>
        <w:spacing w:after="0" w:line="276" w:lineRule="auto"/>
        <w:ind w:left="1276" w:hanging="283"/>
      </w:pPr>
      <w:r w:rsidRPr="00B4103F">
        <w:t xml:space="preserve">Entities under the same direct or indirect control as the </w:t>
      </w:r>
      <w:r w:rsidR="00EA56A3">
        <w:t>applicant</w:t>
      </w:r>
      <w:r w:rsidR="00EA56A3" w:rsidRPr="00B4103F">
        <w:t xml:space="preserve"> </w:t>
      </w:r>
      <w:r w:rsidRPr="00B4103F">
        <w:t>(sister companies).</w:t>
      </w:r>
    </w:p>
    <w:p w14:paraId="36C0D733" w14:textId="77777777" w:rsidR="005E7A18" w:rsidRPr="00B4103F" w:rsidRDefault="005E7A18" w:rsidP="005E7A18">
      <w:pPr>
        <w:spacing w:after="0" w:line="276" w:lineRule="auto"/>
        <w:ind w:left="720" w:hanging="578"/>
      </w:pPr>
      <w:r w:rsidRPr="00B4103F">
        <w:t xml:space="preserve">(ii) </w:t>
      </w:r>
      <w:r w:rsidRPr="00B4103F">
        <w:tab/>
        <w:t xml:space="preserve">Membership, i.e. the </w:t>
      </w:r>
      <w:r w:rsidR="00757ACE">
        <w:t>applicant</w:t>
      </w:r>
      <w:r w:rsidR="00EA56A3" w:rsidRPr="00B4103F">
        <w:t xml:space="preserve"> </w:t>
      </w:r>
      <w:r w:rsidRPr="00B4103F">
        <w:t xml:space="preserve">is legally defined as a e.g. network, federation, association in which the proposed affiliated entities also participate or </w:t>
      </w:r>
      <w:r w:rsidR="00757ACE">
        <w:t xml:space="preserve"> the applicant p</w:t>
      </w:r>
      <w:r w:rsidRPr="00B4103F">
        <w:t>articipates in the same entity (e.g. network, federation, association) as the proposed affiliated entities.</w:t>
      </w:r>
    </w:p>
    <w:p w14:paraId="1F0C89DC" w14:textId="77777777" w:rsidR="005E7A18" w:rsidRPr="00B4103F" w:rsidRDefault="005E7A18" w:rsidP="005E7A18">
      <w:pPr>
        <w:spacing w:after="0" w:line="276" w:lineRule="auto"/>
      </w:pPr>
    </w:p>
    <w:p w14:paraId="3F117797" w14:textId="77777777" w:rsidR="005E7A18" w:rsidRPr="00B4103F" w:rsidRDefault="005E7A18" w:rsidP="00455615">
      <w:r w:rsidRPr="00B4103F">
        <w:t>The structural link shall as a general rule be neither limited to the action nor established for the sole purpose of its implementation. This means that the link would exist independently of the award of the grant; it should exist before the call for proposals and remain valid after the end of the action.</w:t>
      </w:r>
    </w:p>
    <w:p w14:paraId="6F02D076" w14:textId="77777777" w:rsidR="005E7A18" w:rsidRPr="00B4103F" w:rsidRDefault="005E7A18" w:rsidP="00455615">
      <w:r w:rsidRPr="00B4103F">
        <w:t xml:space="preserve">By way of exception, an entity may be considered as affiliated to </w:t>
      </w:r>
      <w:r w:rsidR="00757ACE">
        <w:t>an applicant</w:t>
      </w:r>
      <w:r w:rsidR="00EA56A3" w:rsidRPr="00B4103F">
        <w:t xml:space="preserve"> </w:t>
      </w:r>
      <w:r w:rsidRPr="00B4103F">
        <w:t>even if it has a structural link specifically established for the sole purpose of the implementation of the action in the case of so-called “sole</w:t>
      </w:r>
      <w:r w:rsidR="00EA56A3">
        <w:t xml:space="preserve"> </w:t>
      </w:r>
      <w:r w:rsidRPr="00B4103F">
        <w:t>applicants” or “sole beneficiaries”.  A sole</w:t>
      </w:r>
      <w:r w:rsidR="00EA56A3">
        <w:t xml:space="preserve"> </w:t>
      </w:r>
      <w:r w:rsidRPr="00B4103F">
        <w:t>applicant or a sole beneficiary is a</w:t>
      </w:r>
      <w:r w:rsidR="00D25BF5">
        <w:t xml:space="preserve"> legal</w:t>
      </w:r>
      <w:r w:rsidRPr="00B4103F">
        <w:t xml:space="preserve"> entity formed by several entities (a group of entities) which together comply with the criteria for being awarded the grant</w:t>
      </w:r>
      <w:r w:rsidR="00FF5991" w:rsidRPr="00B4103F">
        <w:t>. For example, an association is formed by its members.</w:t>
      </w:r>
    </w:p>
    <w:p w14:paraId="5A04310E" w14:textId="77777777" w:rsidR="005E7A18" w:rsidRPr="00B4103F" w:rsidRDefault="005E7A18" w:rsidP="007A0900">
      <w:pPr>
        <w:pStyle w:val="Heading5"/>
        <w:numPr>
          <w:ilvl w:val="1"/>
          <w:numId w:val="14"/>
        </w:numPr>
        <w:tabs>
          <w:tab w:val="num" w:pos="0"/>
        </w:tabs>
        <w:spacing w:line="276" w:lineRule="auto"/>
        <w:rPr>
          <w:rFonts w:ascii="Times New Roman" w:hAnsi="Times New Roman"/>
          <w:szCs w:val="22"/>
          <w:u w:val="single"/>
        </w:rPr>
      </w:pPr>
      <w:r w:rsidRPr="00B4103F">
        <w:rPr>
          <w:rFonts w:ascii="Times New Roman" w:hAnsi="Times New Roman"/>
          <w:szCs w:val="22"/>
          <w:u w:val="single"/>
        </w:rPr>
        <w:t xml:space="preserve">What is not an affiliated entity? </w:t>
      </w:r>
    </w:p>
    <w:p w14:paraId="6DDADF64" w14:textId="77777777" w:rsidR="005E7A18" w:rsidRPr="00B4103F" w:rsidRDefault="005E7A18" w:rsidP="005E7A18">
      <w:pPr>
        <w:spacing w:after="0"/>
      </w:pPr>
    </w:p>
    <w:p w14:paraId="00B90275" w14:textId="77777777" w:rsidR="005E7A18" w:rsidRPr="00B4103F" w:rsidRDefault="005E7A18" w:rsidP="005E7A18">
      <w:pPr>
        <w:spacing w:after="0"/>
      </w:pPr>
      <w:r w:rsidRPr="00B4103F">
        <w:t xml:space="preserve">The following are not </w:t>
      </w:r>
      <w:r w:rsidR="006765B7" w:rsidRPr="00B4103F">
        <w:t xml:space="preserve">considered </w:t>
      </w:r>
      <w:r w:rsidRPr="00B4103F">
        <w:t xml:space="preserve">entities affiliated to </w:t>
      </w:r>
      <w:r w:rsidR="004E1029">
        <w:t xml:space="preserve">an </w:t>
      </w:r>
      <w:r w:rsidR="00203C30">
        <w:t>applicant:</w:t>
      </w:r>
    </w:p>
    <w:p w14:paraId="16EEB865" w14:textId="77777777" w:rsidR="005E7A18" w:rsidRPr="00B4103F" w:rsidRDefault="005E7A18" w:rsidP="007A0900">
      <w:pPr>
        <w:numPr>
          <w:ilvl w:val="0"/>
          <w:numId w:val="27"/>
        </w:numPr>
        <w:spacing w:after="0" w:line="276" w:lineRule="auto"/>
      </w:pPr>
      <w:r w:rsidRPr="00B4103F">
        <w:t>Entities that have entered into a (procurement) contract or subcontract with a</w:t>
      </w:r>
      <w:r w:rsidR="00203C30">
        <w:t>n applicant</w:t>
      </w:r>
      <w:r w:rsidRPr="00B4103F">
        <w:t xml:space="preserve">, act as concessionaires or </w:t>
      </w:r>
      <w:proofErr w:type="spellStart"/>
      <w:r w:rsidRPr="00B4103F">
        <w:t>delegate</w:t>
      </w:r>
      <w:r w:rsidR="0065158A">
        <w:t>e</w:t>
      </w:r>
      <w:r w:rsidRPr="00B4103F">
        <w:t>s</w:t>
      </w:r>
      <w:proofErr w:type="spellEnd"/>
      <w:r w:rsidRPr="00B4103F">
        <w:t xml:space="preserve"> for public services for a</w:t>
      </w:r>
      <w:r w:rsidR="00203C30">
        <w:t>n applicant</w:t>
      </w:r>
      <w:r w:rsidRPr="00B4103F">
        <w:t>,</w:t>
      </w:r>
    </w:p>
    <w:p w14:paraId="5F24BCA0" w14:textId="77777777" w:rsidR="005E7A18" w:rsidRPr="00B4103F" w:rsidRDefault="005E7A18" w:rsidP="007A0900">
      <w:pPr>
        <w:numPr>
          <w:ilvl w:val="0"/>
          <w:numId w:val="27"/>
        </w:numPr>
        <w:spacing w:after="0" w:line="276" w:lineRule="auto"/>
      </w:pPr>
      <w:r w:rsidRPr="00B4103F">
        <w:t xml:space="preserve">Entities that receive financial support from </w:t>
      </w:r>
      <w:r w:rsidR="008D1F59">
        <w:t>an</w:t>
      </w:r>
      <w:r w:rsidR="00203C30">
        <w:t xml:space="preserve"> applicant</w:t>
      </w:r>
      <w:r w:rsidRPr="00B4103F">
        <w:t>,</w:t>
      </w:r>
    </w:p>
    <w:p w14:paraId="1F654056" w14:textId="77777777" w:rsidR="005E7A18" w:rsidRPr="00B4103F" w:rsidRDefault="005E7A18" w:rsidP="007A0900">
      <w:pPr>
        <w:numPr>
          <w:ilvl w:val="0"/>
          <w:numId w:val="27"/>
        </w:numPr>
        <w:spacing w:after="0" w:line="276" w:lineRule="auto"/>
      </w:pPr>
      <w:r w:rsidRPr="00B4103F">
        <w:t xml:space="preserve">Entities that cooperate on a regular basis with </w:t>
      </w:r>
      <w:r w:rsidR="00AD4EAD">
        <w:t xml:space="preserve">an </w:t>
      </w:r>
      <w:r w:rsidR="00203C30">
        <w:t>applicant</w:t>
      </w:r>
      <w:r w:rsidRPr="00B4103F">
        <w:t xml:space="preserve"> on the basis of a memorandum of understanding or share some assets,</w:t>
      </w:r>
    </w:p>
    <w:p w14:paraId="0A61E08A" w14:textId="77777777" w:rsidR="005E7A18" w:rsidRPr="00B4103F" w:rsidRDefault="005E7A18" w:rsidP="007A0900">
      <w:pPr>
        <w:numPr>
          <w:ilvl w:val="0"/>
          <w:numId w:val="27"/>
        </w:numPr>
        <w:spacing w:after="0" w:line="276" w:lineRule="auto"/>
      </w:pPr>
      <w:r w:rsidRPr="00B4103F">
        <w:t>Entities that have signed a consortium agreement under the grant contract</w:t>
      </w:r>
      <w:r w:rsidR="00D25BF5">
        <w:t xml:space="preserve"> (unless this consortium agreement leads to the creation of a "sole applicant" as described above)</w:t>
      </w:r>
      <w:r w:rsidR="00D25BF5" w:rsidRPr="00593829">
        <w:t>.</w:t>
      </w:r>
    </w:p>
    <w:p w14:paraId="67EFB192" w14:textId="77777777" w:rsidR="005E7A18" w:rsidRPr="00B4103F" w:rsidRDefault="005E7A18" w:rsidP="005E7A18">
      <w:pPr>
        <w:spacing w:after="0" w:line="276" w:lineRule="auto"/>
      </w:pPr>
    </w:p>
    <w:p w14:paraId="717C2B04" w14:textId="77777777" w:rsidR="005E7A18" w:rsidRPr="00B4103F" w:rsidRDefault="005E7A18" w:rsidP="005E7A18">
      <w:pPr>
        <w:spacing w:after="0" w:line="276" w:lineRule="auto"/>
        <w:rPr>
          <w:u w:val="single"/>
        </w:rPr>
      </w:pPr>
      <w:r w:rsidRPr="00B4103F">
        <w:rPr>
          <w:u w:val="single"/>
        </w:rPr>
        <w:t xml:space="preserve">How to verify the existence of the required link </w:t>
      </w:r>
      <w:r w:rsidRPr="00B46907">
        <w:rPr>
          <w:u w:val="single"/>
        </w:rPr>
        <w:t xml:space="preserve">with </w:t>
      </w:r>
      <w:r w:rsidR="004E1029" w:rsidRPr="00B75750">
        <w:rPr>
          <w:u w:val="single"/>
        </w:rPr>
        <w:t xml:space="preserve">an </w:t>
      </w:r>
      <w:r w:rsidR="00203C30" w:rsidRPr="00B46907">
        <w:t>applicant</w:t>
      </w:r>
      <w:r w:rsidRPr="00B4103F">
        <w:rPr>
          <w:u w:val="single"/>
        </w:rPr>
        <w:t>?</w:t>
      </w:r>
    </w:p>
    <w:p w14:paraId="438B37C2" w14:textId="77777777" w:rsidR="005E7A18" w:rsidRPr="00B4103F" w:rsidRDefault="005E7A18" w:rsidP="005E7A18">
      <w:pPr>
        <w:spacing w:after="0"/>
      </w:pPr>
    </w:p>
    <w:p w14:paraId="4EE6D854" w14:textId="77777777" w:rsidR="005E7A18" w:rsidRPr="00B4103F" w:rsidRDefault="005E7A18" w:rsidP="00455615">
      <w:r w:rsidRPr="00B4103F">
        <w:t xml:space="preserve">The affiliation resulting from control may </w:t>
      </w:r>
      <w:r w:rsidR="00805526" w:rsidRPr="00B4103F">
        <w:t xml:space="preserve">in particular </w:t>
      </w:r>
      <w:r w:rsidRPr="00B4103F">
        <w:t xml:space="preserve">be proved on the basis of the consolidated accounts of the group of entities the </w:t>
      </w:r>
      <w:r w:rsidR="00EA56A3">
        <w:t>applicant</w:t>
      </w:r>
      <w:r w:rsidR="004E1029">
        <w:t xml:space="preserve"> </w:t>
      </w:r>
      <w:r w:rsidRPr="00B4103F">
        <w:t xml:space="preserve">and </w:t>
      </w:r>
      <w:r w:rsidR="004E1029">
        <w:t xml:space="preserve">its </w:t>
      </w:r>
      <w:r w:rsidRPr="00B4103F">
        <w:t>proposed affiliates belong to.</w:t>
      </w:r>
    </w:p>
    <w:p w14:paraId="0905F9F7" w14:textId="77777777" w:rsidR="005E7A18" w:rsidRPr="00B4103F" w:rsidRDefault="005E7A18" w:rsidP="00455615">
      <w:r w:rsidRPr="00B4103F">
        <w:t xml:space="preserve">The affiliation resulting from membership may </w:t>
      </w:r>
      <w:r w:rsidR="00805526" w:rsidRPr="00B4103F">
        <w:t xml:space="preserve">in particular </w:t>
      </w:r>
      <w:r w:rsidRPr="00B4103F">
        <w:t xml:space="preserve">be proved on the basis of the statutes or equivalent act establishing the entity (network, federation, association) which </w:t>
      </w:r>
      <w:r w:rsidR="00203C30">
        <w:t xml:space="preserve">the applicant </w:t>
      </w:r>
      <w:r w:rsidRPr="00B4103F">
        <w:t xml:space="preserve">constitutes or in which the </w:t>
      </w:r>
      <w:r w:rsidR="00757ACE">
        <w:t>applicant</w:t>
      </w:r>
      <w:r w:rsidRPr="00B4103F">
        <w:t xml:space="preserve"> participates.</w:t>
      </w:r>
    </w:p>
    <w:p w14:paraId="45533E57" w14:textId="77777777" w:rsidR="00F012FD" w:rsidRPr="00B4103F" w:rsidRDefault="007261B1" w:rsidP="006B6048">
      <w:r w:rsidRPr="00203C30">
        <w:t xml:space="preserve">If the applicants are awarded a </w:t>
      </w:r>
      <w:r w:rsidR="002E1EF9">
        <w:t xml:space="preserve">grant </w:t>
      </w:r>
      <w:r w:rsidRPr="00203C30">
        <w:t xml:space="preserve">contract, their affiliated </w:t>
      </w:r>
      <w:proofErr w:type="gramStart"/>
      <w:r w:rsidRPr="00203C30">
        <w:t>entity(</w:t>
      </w:r>
      <w:proofErr w:type="spellStart"/>
      <w:proofErr w:type="gramEnd"/>
      <w:r w:rsidRPr="00203C30">
        <w:t>ies</w:t>
      </w:r>
      <w:proofErr w:type="spellEnd"/>
      <w:r w:rsidRPr="00203C30">
        <w:t xml:space="preserve">) will not become </w:t>
      </w:r>
      <w:r w:rsidR="002E1EF9">
        <w:t>b</w:t>
      </w:r>
      <w:r w:rsidRPr="00203C30">
        <w:t>eneficiary(</w:t>
      </w:r>
      <w:proofErr w:type="spellStart"/>
      <w:r w:rsidRPr="00203C30">
        <w:t>ies</w:t>
      </w:r>
      <w:proofErr w:type="spellEnd"/>
      <w:r w:rsidRPr="00203C30">
        <w:t>)</w:t>
      </w:r>
      <w:r w:rsidRPr="00B4103F">
        <w:t xml:space="preserve"> of the </w:t>
      </w:r>
      <w:r w:rsidR="002E1EF9">
        <w:t>a</w:t>
      </w:r>
      <w:r w:rsidRPr="00B4103F">
        <w:t>ction and signatory(</w:t>
      </w:r>
      <w:proofErr w:type="spellStart"/>
      <w:r w:rsidRPr="00B4103F">
        <w:t>ies</w:t>
      </w:r>
      <w:proofErr w:type="spellEnd"/>
      <w:r w:rsidRPr="00B4103F">
        <w:t xml:space="preserve">) of the </w:t>
      </w:r>
      <w:r w:rsidR="002E1EF9">
        <w:t>g</w:t>
      </w:r>
      <w:r w:rsidR="00B35D7F" w:rsidRPr="00B4103F">
        <w:t xml:space="preserve">rant </w:t>
      </w:r>
      <w:r w:rsidR="002E1EF9">
        <w:t>c</w:t>
      </w:r>
      <w:r w:rsidRPr="00B4103F">
        <w:t xml:space="preserve">ontract. However, they will participate in the design and  in the implementation of the </w:t>
      </w:r>
      <w:r w:rsidR="002E1EF9">
        <w:t>a</w:t>
      </w:r>
      <w:r w:rsidRPr="00B4103F">
        <w:t xml:space="preserve">ction and the costs they incur (including those incurred for </w:t>
      </w:r>
      <w:r w:rsidR="002E1EF9">
        <w:t>i</w:t>
      </w:r>
      <w:r w:rsidRPr="00B4103F">
        <w:t xml:space="preserve">mplementation </w:t>
      </w:r>
      <w:r w:rsidR="002E1EF9">
        <w:lastRenderedPageBreak/>
        <w:t>c</w:t>
      </w:r>
      <w:r w:rsidRPr="00B4103F">
        <w:t xml:space="preserve">ontracts and </w:t>
      </w:r>
      <w:r w:rsidR="002E1EF9">
        <w:t>f</w:t>
      </w:r>
      <w:r w:rsidRPr="00B4103F">
        <w:t xml:space="preserve">inancial </w:t>
      </w:r>
      <w:r w:rsidR="002E1EF9">
        <w:t>s</w:t>
      </w:r>
      <w:r w:rsidRPr="00B4103F">
        <w:t xml:space="preserve">upport to third parties) may be accepted as eligible costs, provided they comply with all the relevant rules already applicable to the </w:t>
      </w:r>
      <w:r w:rsidR="002E1EF9">
        <w:t>b</w:t>
      </w:r>
      <w:r w:rsidRPr="00B4103F">
        <w:t>eneficiary(</w:t>
      </w:r>
      <w:proofErr w:type="spellStart"/>
      <w:r w:rsidRPr="00B4103F">
        <w:t>ies</w:t>
      </w:r>
      <w:proofErr w:type="spellEnd"/>
      <w:r w:rsidRPr="00B4103F">
        <w:t xml:space="preserve">) under the </w:t>
      </w:r>
      <w:r w:rsidR="002E1EF9">
        <w:t>g</w:t>
      </w:r>
      <w:r w:rsidRPr="00B4103F">
        <w:t xml:space="preserve">rant </w:t>
      </w:r>
      <w:r w:rsidR="002E1EF9">
        <w:t>c</w:t>
      </w:r>
      <w:r w:rsidRPr="00B4103F">
        <w:t>ontract.</w:t>
      </w:r>
    </w:p>
    <w:p w14:paraId="258B5FA1" w14:textId="6904E370" w:rsidR="00A33882" w:rsidRDefault="00914462" w:rsidP="007261B1">
      <w:r w:rsidRPr="00B4103F">
        <w:t xml:space="preserve">Affiliated </w:t>
      </w:r>
      <w:proofErr w:type="gramStart"/>
      <w:r w:rsidRPr="00B4103F">
        <w:t>entity(</w:t>
      </w:r>
      <w:proofErr w:type="spellStart"/>
      <w:proofErr w:type="gramEnd"/>
      <w:r w:rsidRPr="00B4103F">
        <w:t>ies</w:t>
      </w:r>
      <w:proofErr w:type="spellEnd"/>
      <w:r w:rsidRPr="00B4103F">
        <w:t xml:space="preserve">) must satisfy the </w:t>
      </w:r>
      <w:r w:rsidR="00DD5D23" w:rsidRPr="00B4103F">
        <w:t xml:space="preserve">same </w:t>
      </w:r>
      <w:r w:rsidRPr="00B4103F">
        <w:t xml:space="preserve">eligibility criteria as the </w:t>
      </w:r>
      <w:r w:rsidR="003153CB">
        <w:t>lead a</w:t>
      </w:r>
      <w:r w:rsidRPr="00B4103F">
        <w:t xml:space="preserve">pplicant and the co-applicant(s). </w:t>
      </w:r>
      <w:r w:rsidR="00DD5D23" w:rsidRPr="00B4103F">
        <w:t xml:space="preserve"> T</w:t>
      </w:r>
      <w:r w:rsidR="007261B1" w:rsidRPr="00B4103F">
        <w:t>hey</w:t>
      </w:r>
      <w:r w:rsidR="00A33882" w:rsidRPr="00B4103F">
        <w:t xml:space="preserve"> must sign the affiliated </w:t>
      </w:r>
      <w:proofErr w:type="gramStart"/>
      <w:r w:rsidR="00A33882" w:rsidRPr="00B4103F">
        <w:t>entity(</w:t>
      </w:r>
      <w:proofErr w:type="spellStart"/>
      <w:proofErr w:type="gramEnd"/>
      <w:r w:rsidR="00A33882" w:rsidRPr="00B4103F">
        <w:t>ies</w:t>
      </w:r>
      <w:proofErr w:type="spellEnd"/>
      <w:r w:rsidR="00A33882" w:rsidRPr="00B4103F">
        <w:t xml:space="preserve">) statement in </w:t>
      </w:r>
      <w:r w:rsidR="002E1EF9">
        <w:t>Annex A.2., section 5</w:t>
      </w:r>
      <w:r w:rsidR="006F787C">
        <w:t>.3</w:t>
      </w:r>
      <w:r w:rsidR="002E1EF9">
        <w:t>.</w:t>
      </w:r>
    </w:p>
    <w:p w14:paraId="51ADFAAD" w14:textId="77777777" w:rsidR="00E5365A" w:rsidRDefault="00E5365A" w:rsidP="00E5365A">
      <w:pPr>
        <w:rPr>
          <w:b/>
        </w:rPr>
      </w:pPr>
      <w:r>
        <w:rPr>
          <w:b/>
        </w:rPr>
        <w:t>Note that the fact of having a structural link with the lead applicant does not prevent an organisation from being co-applicant in the partnership. It is the lead applicant's decision to define the role of the actors composing its partnership and implementing the action: co-applicants or affiliated entities.</w:t>
      </w:r>
    </w:p>
    <w:p w14:paraId="794E7366" w14:textId="77777777" w:rsidR="00E5365A" w:rsidRPr="00807DAF" w:rsidRDefault="00E5365A" w:rsidP="007261B1"/>
    <w:p w14:paraId="6EE07D06" w14:textId="77777777" w:rsidR="00F06309" w:rsidRPr="00807DAF" w:rsidRDefault="00F06309" w:rsidP="007A0900">
      <w:pPr>
        <w:pStyle w:val="Guidelines3"/>
        <w:numPr>
          <w:ilvl w:val="2"/>
          <w:numId w:val="15"/>
        </w:numPr>
      </w:pPr>
      <w:bookmarkStart w:id="8" w:name="_Toc380145061"/>
      <w:bookmarkStart w:id="9" w:name="_Toc487024640"/>
      <w:bookmarkEnd w:id="8"/>
      <w:r w:rsidRPr="00807DAF">
        <w:t>Associates and Contractors</w:t>
      </w:r>
      <w:bookmarkEnd w:id="9"/>
    </w:p>
    <w:p w14:paraId="352951B5" w14:textId="77777777" w:rsidR="00F06309" w:rsidRPr="00807DAF" w:rsidRDefault="00F06309" w:rsidP="00F06309">
      <w:pPr>
        <w:spacing w:before="240"/>
      </w:pPr>
      <w:r w:rsidRPr="00807DAF">
        <w:t xml:space="preserve">The following entities are </w:t>
      </w:r>
      <w:proofErr w:type="gramStart"/>
      <w:r w:rsidRPr="00807DAF">
        <w:t>not applicant</w:t>
      </w:r>
      <w:r w:rsidR="002E1EF9">
        <w:t>s</w:t>
      </w:r>
      <w:r w:rsidRPr="00807DAF">
        <w:t xml:space="preserve"> nor</w:t>
      </w:r>
      <w:proofErr w:type="gramEnd"/>
      <w:r w:rsidRPr="00807DAF">
        <w:t xml:space="preserve"> affiliated entit</w:t>
      </w:r>
      <w:r w:rsidR="002E1EF9">
        <w:t>ies</w:t>
      </w:r>
      <w:r w:rsidRPr="00807DAF">
        <w:t xml:space="preserve"> and do not have to sign the "mandate</w:t>
      </w:r>
      <w:r w:rsidR="00B35D7F">
        <w:t xml:space="preserve"> for co-applicant</w:t>
      </w:r>
      <w:r w:rsidR="002E1EF9">
        <w:t>(</w:t>
      </w:r>
      <w:r w:rsidR="00B35D7F">
        <w:t>s</w:t>
      </w:r>
      <w:r w:rsidR="002E1EF9">
        <w:t>)</w:t>
      </w:r>
      <w:r w:rsidRPr="00807DAF">
        <w:t>" or "affiliated entities' statement":</w:t>
      </w:r>
    </w:p>
    <w:p w14:paraId="0D305045" w14:textId="77777777" w:rsidR="00F06309" w:rsidRPr="00807DAF" w:rsidRDefault="00F06309" w:rsidP="007A0900">
      <w:pPr>
        <w:numPr>
          <w:ilvl w:val="0"/>
          <w:numId w:val="17"/>
        </w:numPr>
      </w:pPr>
      <w:r w:rsidRPr="00807DAF">
        <w:t>Associates</w:t>
      </w:r>
    </w:p>
    <w:p w14:paraId="11840D6F" w14:textId="3FE461FC" w:rsidR="00F06309" w:rsidRPr="00807DAF" w:rsidRDefault="00F06309" w:rsidP="00F06309">
      <w:r w:rsidRPr="00807DAF">
        <w:t xml:space="preserve">Other organisations </w:t>
      </w:r>
      <w:r w:rsidR="00DA3461">
        <w:t xml:space="preserve">or individuals </w:t>
      </w:r>
      <w:r w:rsidRPr="00807DAF">
        <w:t xml:space="preserve">may be involved in the action. Such associates play a real role in the action but may not receive funding from the grant, with the exception of per diem or travel costs. Associates do not have to meet the eligibility criteria referred to in section 2.1.1. Associates must be mentioned in </w:t>
      </w:r>
      <w:r w:rsidR="002E1EF9">
        <w:t xml:space="preserve">Annex A.2., </w:t>
      </w:r>
      <w:r w:rsidRPr="00807DAF">
        <w:t xml:space="preserve">section </w:t>
      </w:r>
      <w:r w:rsidR="008667D1">
        <w:t>4</w:t>
      </w:r>
      <w:r w:rsidRPr="00807DAF">
        <w:t xml:space="preserve"> — ‘Associates participating in the </w:t>
      </w:r>
      <w:r w:rsidR="002E1EF9">
        <w:t>a</w:t>
      </w:r>
      <w:r w:rsidRPr="00807DAF">
        <w:t>ction’</w:t>
      </w:r>
      <w:r w:rsidR="002E1EF9">
        <w:t>.</w:t>
      </w:r>
    </w:p>
    <w:p w14:paraId="12040ECE" w14:textId="77777777" w:rsidR="00F06309" w:rsidRPr="00807DAF" w:rsidRDefault="00F06309" w:rsidP="007A0900">
      <w:pPr>
        <w:numPr>
          <w:ilvl w:val="0"/>
          <w:numId w:val="17"/>
        </w:numPr>
      </w:pPr>
      <w:r w:rsidRPr="00807DAF">
        <w:t>Contractors</w:t>
      </w:r>
    </w:p>
    <w:p w14:paraId="40B8A025" w14:textId="77777777" w:rsidR="00F06309" w:rsidRPr="00807DAF" w:rsidRDefault="00F06309" w:rsidP="00F06309">
      <w:r w:rsidRPr="00807DAF">
        <w:t xml:space="preserve">The beneficiaries and their affiliated entities are permitted to award contracts. Associates or affiliated </w:t>
      </w:r>
      <w:proofErr w:type="gramStart"/>
      <w:r w:rsidRPr="00807DAF">
        <w:t>entity(</w:t>
      </w:r>
      <w:proofErr w:type="spellStart"/>
      <w:proofErr w:type="gramEnd"/>
      <w:r w:rsidRPr="00807DAF">
        <w:t>ies</w:t>
      </w:r>
      <w:proofErr w:type="spellEnd"/>
      <w:r w:rsidRPr="00807DAF">
        <w:t>) cannot be also contractors in the project. Contractors are subject to the procurement rules set out in Annex IV to the standard grant contract.</w:t>
      </w:r>
    </w:p>
    <w:p w14:paraId="05E484D6" w14:textId="77777777" w:rsidR="0007408E" w:rsidRPr="00807DAF" w:rsidRDefault="0007408E" w:rsidP="007A0900">
      <w:pPr>
        <w:pStyle w:val="Guidelines3"/>
        <w:numPr>
          <w:ilvl w:val="2"/>
          <w:numId w:val="15"/>
        </w:numPr>
      </w:pPr>
      <w:bookmarkStart w:id="10" w:name="_Toc380145063"/>
      <w:bookmarkStart w:id="11" w:name="_Toc380145064"/>
      <w:bookmarkStart w:id="12" w:name="_Toc487024641"/>
      <w:bookmarkEnd w:id="10"/>
      <w:bookmarkEnd w:id="11"/>
      <w:r w:rsidRPr="00807DAF">
        <w:t>Eligible actions: actions for which an application may be made</w:t>
      </w:r>
      <w:bookmarkEnd w:id="12"/>
    </w:p>
    <w:p w14:paraId="2AC8AD9B" w14:textId="77777777" w:rsidR="009B41E2" w:rsidRPr="00E611E9" w:rsidRDefault="00145C8F" w:rsidP="006B6048">
      <w:pPr>
        <w:spacing w:before="240"/>
        <w:rPr>
          <w:u w:val="single"/>
        </w:rPr>
      </w:pPr>
      <w:r>
        <w:rPr>
          <w:u w:val="single"/>
        </w:rPr>
        <w:t>Definition</w:t>
      </w:r>
    </w:p>
    <w:p w14:paraId="6FB8DF0F" w14:textId="77777777" w:rsidR="002265E1" w:rsidRPr="00807DAF" w:rsidRDefault="002265E1" w:rsidP="006B6048">
      <w:r w:rsidRPr="00807DAF">
        <w:t>A</w:t>
      </w:r>
      <w:r w:rsidR="00B526B1" w:rsidRPr="00807DAF">
        <w:t>n</w:t>
      </w:r>
      <w:r w:rsidRPr="00807DAF">
        <w:t xml:space="preserve"> action is composed </w:t>
      </w:r>
      <w:r w:rsidR="00E16D0E" w:rsidRPr="00807DAF">
        <w:t>of a</w:t>
      </w:r>
      <w:r w:rsidRPr="00807DAF">
        <w:t xml:space="preserve"> set of activities.</w:t>
      </w:r>
    </w:p>
    <w:p w14:paraId="225234CB" w14:textId="77777777" w:rsidR="0007408E" w:rsidRDefault="0007408E" w:rsidP="006B6048">
      <w:pPr>
        <w:rPr>
          <w:u w:val="single"/>
        </w:rPr>
      </w:pPr>
      <w:r w:rsidRPr="00807DAF">
        <w:rPr>
          <w:u w:val="single"/>
        </w:rPr>
        <w:t>Duration</w:t>
      </w:r>
    </w:p>
    <w:p w14:paraId="46C00A44" w14:textId="2E610535" w:rsidR="00734BB4" w:rsidRPr="00734BB4" w:rsidRDefault="00734BB4" w:rsidP="006B6048">
      <w:r w:rsidRPr="00734BB4">
        <w:t xml:space="preserve">The initial planned duration of an action may not be lower than </w:t>
      </w:r>
      <w:r w:rsidR="00BC6B52" w:rsidRPr="00786FD8">
        <w:rPr>
          <w:b/>
        </w:rPr>
        <w:t xml:space="preserve">30 nor exceed </w:t>
      </w:r>
      <w:r w:rsidRPr="00786FD8">
        <w:rPr>
          <w:b/>
        </w:rPr>
        <w:t>36 months</w:t>
      </w:r>
      <w:r w:rsidRPr="00734BB4">
        <w:t>.</w:t>
      </w:r>
    </w:p>
    <w:p w14:paraId="5056A739" w14:textId="77777777" w:rsidR="0007408E" w:rsidRPr="00E66066" w:rsidRDefault="0007408E" w:rsidP="006B6048">
      <w:pPr>
        <w:rPr>
          <w:u w:val="single"/>
        </w:rPr>
      </w:pPr>
      <w:r w:rsidRPr="00E66066">
        <w:rPr>
          <w:u w:val="single"/>
        </w:rPr>
        <w:t>Sectors or themes</w:t>
      </w:r>
    </w:p>
    <w:p w14:paraId="275A0B5A" w14:textId="77777777" w:rsidR="00095425" w:rsidRDefault="00095425" w:rsidP="00095425">
      <w:r>
        <w:t>The specific sectors or themes to which the actions must relate are described for each lot under section 1.2 above.</w:t>
      </w:r>
    </w:p>
    <w:p w14:paraId="6F11F3EB" w14:textId="77777777" w:rsidR="00095425" w:rsidRPr="00095425" w:rsidRDefault="00095425" w:rsidP="00095425">
      <w:pPr>
        <w:rPr>
          <w:u w:val="single"/>
        </w:rPr>
      </w:pPr>
      <w:r w:rsidRPr="00095425">
        <w:rPr>
          <w:u w:val="single"/>
        </w:rPr>
        <w:t xml:space="preserve">Location </w:t>
      </w:r>
    </w:p>
    <w:p w14:paraId="1EC75DFB" w14:textId="783396C5" w:rsidR="00095425" w:rsidRDefault="00095425" w:rsidP="00095425">
      <w:r w:rsidRPr="00455615">
        <w:rPr>
          <w:b/>
        </w:rPr>
        <w:t xml:space="preserve">Actions must take place </w:t>
      </w:r>
      <w:r w:rsidR="00E034E6">
        <w:rPr>
          <w:b/>
        </w:rPr>
        <w:t xml:space="preserve">in </w:t>
      </w:r>
      <w:r w:rsidR="00455615">
        <w:rPr>
          <w:b/>
        </w:rPr>
        <w:t>at least two</w:t>
      </w:r>
      <w:r w:rsidRPr="00455615">
        <w:rPr>
          <w:b/>
        </w:rPr>
        <w:t xml:space="preserve"> </w:t>
      </w:r>
      <w:r w:rsidR="00433248" w:rsidRPr="00455615">
        <w:rPr>
          <w:b/>
        </w:rPr>
        <w:t>(</w:t>
      </w:r>
      <w:r w:rsidR="00EC3263" w:rsidRPr="00455615">
        <w:rPr>
          <w:b/>
        </w:rPr>
        <w:t>2</w:t>
      </w:r>
      <w:r w:rsidR="00433248" w:rsidRPr="00455615">
        <w:rPr>
          <w:b/>
        </w:rPr>
        <w:t>)</w:t>
      </w:r>
      <w:r w:rsidR="00EC3263" w:rsidRPr="00455615">
        <w:rPr>
          <w:b/>
        </w:rPr>
        <w:t xml:space="preserve"> </w:t>
      </w:r>
      <w:r w:rsidRPr="00455615">
        <w:rPr>
          <w:b/>
        </w:rPr>
        <w:t>countries outside the European Union</w:t>
      </w:r>
      <w:r>
        <w:t>. Nevertheless, punctual activities may, if duly justified in the description of the action, take place in EU countries when they are directly related to situations arising in third countries and for the benefit of those countries, e.g. a seminar or conference, a visit to the European Institutions, an opening or closing of a campaign in an EU Member State, a specific exhibition or other similar single events. These reasons will be examined during the evaluation process.</w:t>
      </w:r>
    </w:p>
    <w:p w14:paraId="616D3754" w14:textId="1A1A19AD" w:rsidR="00095425" w:rsidRDefault="00095425" w:rsidP="00095425">
      <w:r>
        <w:t>In particular, actions may take place:</w:t>
      </w:r>
    </w:p>
    <w:p w14:paraId="35F086DB" w14:textId="275185DC" w:rsidR="00095425" w:rsidRDefault="00095425" w:rsidP="00095425">
      <w:r>
        <w:lastRenderedPageBreak/>
        <w:t>a) in challenging environments (e.g. where there is less or no room for dialogue with national authorities</w:t>
      </w:r>
      <w:r w:rsidR="00E034E6">
        <w:t>;</w:t>
      </w:r>
      <w:r>
        <w:t xml:space="preserve"> where the interventions may give the opportunity to set precedents; where expectations regarding final impact must be more modest; where no human rights reports are submitted to UN instances; where UN</w:t>
      </w:r>
      <w:r w:rsidR="00527B48">
        <w:t xml:space="preserve"> or other regional human rights</w:t>
      </w:r>
      <w:r>
        <w:t xml:space="preserve"> bodies' recommendations are not given follow-up; </w:t>
      </w:r>
    </w:p>
    <w:p w14:paraId="67724444" w14:textId="7D891652" w:rsidR="00095425" w:rsidRDefault="00095425" w:rsidP="00095425">
      <w:r>
        <w:t>b) in countries where a clear impact can be reached at the end of the action (e.g. where law change is feasible; where there is openness for dialogue with authorities</w:t>
      </w:r>
      <w:r w:rsidR="00E034E6">
        <w:t>;</w:t>
      </w:r>
      <w:r>
        <w:t xml:space="preserve"> where it is possible to implement training courses for officials; where recommendations from the UN </w:t>
      </w:r>
      <w:r w:rsidR="00F2535D">
        <w:t>and/or other regional human rights bodies</w:t>
      </w:r>
      <w:r>
        <w:t xml:space="preserve"> are followed, etc.)</w:t>
      </w:r>
    </w:p>
    <w:p w14:paraId="759E33E2" w14:textId="77777777" w:rsidR="00786FD8" w:rsidRDefault="00786FD8" w:rsidP="00095425"/>
    <w:p w14:paraId="25B1D433" w14:textId="77777777" w:rsidR="0007408E" w:rsidRDefault="0007408E" w:rsidP="006B6048">
      <w:pPr>
        <w:rPr>
          <w:szCs w:val="22"/>
          <w:u w:val="single"/>
        </w:rPr>
      </w:pPr>
      <w:r w:rsidRPr="00807DAF">
        <w:rPr>
          <w:szCs w:val="22"/>
          <w:u w:val="single"/>
        </w:rPr>
        <w:t>Type</w:t>
      </w:r>
      <w:r w:rsidR="0001485A" w:rsidRPr="00807DAF">
        <w:rPr>
          <w:szCs w:val="22"/>
          <w:u w:val="single"/>
        </w:rPr>
        <w:t>s</w:t>
      </w:r>
      <w:r w:rsidRPr="00807DAF">
        <w:rPr>
          <w:szCs w:val="22"/>
          <w:u w:val="single"/>
        </w:rPr>
        <w:t xml:space="preserve"> of action</w:t>
      </w:r>
      <w:r w:rsidR="00095425">
        <w:rPr>
          <w:szCs w:val="22"/>
          <w:u w:val="single"/>
        </w:rPr>
        <w:t xml:space="preserve"> and activity</w:t>
      </w:r>
    </w:p>
    <w:p w14:paraId="48B0C3DD" w14:textId="77777777" w:rsidR="00455615" w:rsidRDefault="00455615" w:rsidP="00455615">
      <w:pPr>
        <w:rPr>
          <w:szCs w:val="22"/>
        </w:rPr>
      </w:pPr>
      <w:r w:rsidRPr="00095425">
        <w:rPr>
          <w:szCs w:val="22"/>
        </w:rPr>
        <w:t xml:space="preserve">The types of action and the indicative and non-exhaustive list of activities which may be financed under this call are described for each lot under section 1.2 above. </w:t>
      </w:r>
    </w:p>
    <w:p w14:paraId="087F787B" w14:textId="3ED7BBC6" w:rsidR="00426A18" w:rsidRPr="00455615" w:rsidRDefault="00426A18" w:rsidP="00284321">
      <w:pPr>
        <w:rPr>
          <w:i/>
          <w:szCs w:val="22"/>
          <w:u w:val="single"/>
        </w:rPr>
      </w:pPr>
      <w:r w:rsidRPr="00455615">
        <w:rPr>
          <w:i/>
          <w:u w:val="single"/>
        </w:rPr>
        <w:t>A Rights-Based Approach, encompassing all human rights, for EU development cooperation</w:t>
      </w:r>
    </w:p>
    <w:p w14:paraId="2C96384B" w14:textId="77777777" w:rsidR="00284321" w:rsidRPr="00284321" w:rsidRDefault="00284321" w:rsidP="00284321">
      <w:pPr>
        <w:rPr>
          <w:szCs w:val="22"/>
        </w:rPr>
      </w:pPr>
      <w:r w:rsidRPr="00284321">
        <w:rPr>
          <w:szCs w:val="22"/>
        </w:rPr>
        <w:t>The following elements are necessary in order to apply a rights-based approach to development:</w:t>
      </w:r>
    </w:p>
    <w:p w14:paraId="19FA70F6" w14:textId="7199D887" w:rsidR="00284321" w:rsidRPr="00284321" w:rsidRDefault="00284321" w:rsidP="00455615">
      <w:pPr>
        <w:numPr>
          <w:ilvl w:val="0"/>
          <w:numId w:val="61"/>
        </w:numPr>
        <w:rPr>
          <w:szCs w:val="22"/>
        </w:rPr>
      </w:pPr>
      <w:r w:rsidRPr="00284321">
        <w:rPr>
          <w:szCs w:val="22"/>
        </w:rPr>
        <w:t>Assessment and analysis in order to identify the human rights claims of rights-holders and the corresponding human rights obligations of duty-bearers as well as the immediate, underlying, and structural causes of the non-realization of rights.</w:t>
      </w:r>
    </w:p>
    <w:p w14:paraId="33C35A6A" w14:textId="4D4E3E34" w:rsidR="00284321" w:rsidRPr="00284321" w:rsidRDefault="00284321" w:rsidP="00455615">
      <w:pPr>
        <w:numPr>
          <w:ilvl w:val="0"/>
          <w:numId w:val="61"/>
        </w:numPr>
        <w:rPr>
          <w:szCs w:val="22"/>
        </w:rPr>
      </w:pPr>
      <w:r w:rsidRPr="00284321">
        <w:rPr>
          <w:szCs w:val="22"/>
        </w:rPr>
        <w:t>Programmes and projects assess the capacity of rights-holders to claim their rights and of duty-bearers to fulfil their obligations. They then develop strate</w:t>
      </w:r>
      <w:r>
        <w:rPr>
          <w:szCs w:val="22"/>
        </w:rPr>
        <w:t>gies to build these capacities.</w:t>
      </w:r>
    </w:p>
    <w:p w14:paraId="3BEFE1E2" w14:textId="4DB52DE0" w:rsidR="00284321" w:rsidRPr="00284321" w:rsidRDefault="00284321" w:rsidP="00455615">
      <w:pPr>
        <w:numPr>
          <w:ilvl w:val="0"/>
          <w:numId w:val="61"/>
        </w:numPr>
        <w:rPr>
          <w:szCs w:val="22"/>
        </w:rPr>
      </w:pPr>
      <w:r w:rsidRPr="00284321">
        <w:rPr>
          <w:szCs w:val="22"/>
        </w:rPr>
        <w:t>Programmes monitor and evaluate both outcomes and processes guided by the foll</w:t>
      </w:r>
      <w:r w:rsidR="00565C47">
        <w:rPr>
          <w:szCs w:val="22"/>
        </w:rPr>
        <w:t xml:space="preserve">owing human rights principles </w:t>
      </w:r>
      <w:r w:rsidR="00565C47" w:rsidRPr="00565C47">
        <w:rPr>
          <w:szCs w:val="22"/>
        </w:rPr>
        <w:t>briefly explained and exemplified as follows</w:t>
      </w:r>
      <w:r w:rsidR="00565C47">
        <w:rPr>
          <w:szCs w:val="22"/>
        </w:rPr>
        <w:t>;</w:t>
      </w:r>
    </w:p>
    <w:p w14:paraId="400CEDD5" w14:textId="77777777" w:rsidR="000E0D57" w:rsidRDefault="000E0D57" w:rsidP="000E0D57">
      <w:r w:rsidRPr="005E0E67">
        <w:rPr>
          <w:b/>
        </w:rPr>
        <w:t xml:space="preserve">Applying all rights (legality, universality and indivisibility of </w:t>
      </w:r>
      <w:r>
        <w:rPr>
          <w:b/>
        </w:rPr>
        <w:t>human rights</w:t>
      </w:r>
      <w:r w:rsidRPr="005E0E67">
        <w:rPr>
          <w:b/>
        </w:rPr>
        <w:t>)</w:t>
      </w:r>
      <w:r w:rsidRPr="00284321">
        <w:t xml:space="preserve"> –</w:t>
      </w:r>
      <w:r w:rsidRPr="00D019CD">
        <w:t xml:space="preserve"> Human rights are universal, inalienable and indivisible – all human rights, whether economic, political, civil, cultural and social, are of equal validity and importance</w:t>
      </w:r>
      <w:r>
        <w:t>.</w:t>
      </w:r>
      <w:r w:rsidRPr="00284321">
        <w:t xml:space="preserve"> </w:t>
      </w:r>
    </w:p>
    <w:p w14:paraId="4B0CD6BA" w14:textId="686FD665" w:rsidR="000E0D57" w:rsidRPr="00284321" w:rsidRDefault="000E0D57" w:rsidP="0071733C">
      <w:pPr>
        <w:numPr>
          <w:ilvl w:val="0"/>
          <w:numId w:val="49"/>
        </w:numPr>
      </w:pPr>
      <w:r>
        <w:t>M</w:t>
      </w:r>
      <w:r w:rsidRPr="00D019CD">
        <w:t>ake the link to the human rights system and use its products</w:t>
      </w:r>
      <w:r w:rsidR="000415A0">
        <w:t xml:space="preserve"> (reports, concluding observations, recommendations, etc.)</w:t>
      </w:r>
      <w:r w:rsidRPr="00D019CD">
        <w:t xml:space="preserve"> to inform </w:t>
      </w:r>
      <w:r>
        <w:t xml:space="preserve">activities: </w:t>
      </w:r>
      <w:r w:rsidRPr="00266869">
        <w:t xml:space="preserve">How are human rights standards from treaties or laws </w:t>
      </w:r>
      <w:r>
        <w:t>–</w:t>
      </w:r>
      <w:r w:rsidRPr="00266869">
        <w:t xml:space="preserve"> and related recommendations – identified</w:t>
      </w:r>
      <w:r>
        <w:t xml:space="preserve"> in strategies</w:t>
      </w:r>
      <w:r w:rsidRPr="00266869">
        <w:t xml:space="preserve"> and used to advance the </w:t>
      </w:r>
      <w:r>
        <w:t xml:space="preserve">intended project and programme </w:t>
      </w:r>
      <w:r w:rsidRPr="00266869">
        <w:t>outcomes (or how could they be)?</w:t>
      </w:r>
    </w:p>
    <w:p w14:paraId="01D001DD" w14:textId="2580CF83" w:rsidR="000E0D57" w:rsidRDefault="000E0D57" w:rsidP="000E0D57">
      <w:r w:rsidRPr="005E0E67">
        <w:rPr>
          <w:b/>
        </w:rPr>
        <w:t>Participation and access to the decision making process</w:t>
      </w:r>
      <w:r w:rsidRPr="00284321">
        <w:t xml:space="preserve"> –Participation is the basis for active citizenship</w:t>
      </w:r>
      <w:r>
        <w:t>.</w:t>
      </w:r>
      <w:r w:rsidRPr="00284321">
        <w:t xml:space="preserve"> </w:t>
      </w:r>
      <w:r>
        <w:t>A</w:t>
      </w:r>
      <w:r w:rsidRPr="00284321">
        <w:t xml:space="preserve">ctive, free and meaningful participation is both a means and an end in itself. </w:t>
      </w:r>
    </w:p>
    <w:p w14:paraId="23E4367B" w14:textId="50DA164B" w:rsidR="000E0D57" w:rsidRPr="00284321" w:rsidRDefault="000E0D57" w:rsidP="000E0D57">
      <w:pPr>
        <w:numPr>
          <w:ilvl w:val="0"/>
          <w:numId w:val="49"/>
        </w:numPr>
      </w:pPr>
      <w:r w:rsidRPr="00D019CD">
        <w:t>Make sure that participation is more than consultation or a technical step in project preparation.</w:t>
      </w:r>
      <w:r>
        <w:t xml:space="preserve"> </w:t>
      </w:r>
      <w:r w:rsidRPr="00565C47">
        <w:t xml:space="preserve">Is there meaningful participation of rights holders and opportunities for them to influence </w:t>
      </w:r>
      <w:r>
        <w:t xml:space="preserve">strategies and </w:t>
      </w:r>
      <w:r w:rsidRPr="00565C47">
        <w:t xml:space="preserve">the </w:t>
      </w:r>
      <w:r>
        <w:t xml:space="preserve">intended project and programme </w:t>
      </w:r>
      <w:r w:rsidRPr="00565C47">
        <w:t>outcomes</w:t>
      </w:r>
      <w:r w:rsidR="000415A0">
        <w:t xml:space="preserve"> (before/during/after the project activities)</w:t>
      </w:r>
      <w:r w:rsidRPr="00565C47">
        <w:t>?</w:t>
      </w:r>
    </w:p>
    <w:p w14:paraId="5886FFC2" w14:textId="59A5A0DE" w:rsidR="000E0D57" w:rsidRDefault="000E0D57" w:rsidP="000E0D57">
      <w:r w:rsidRPr="005E0E67">
        <w:rPr>
          <w:b/>
        </w:rPr>
        <w:t>Non-discrimination and equal access</w:t>
      </w:r>
      <w:r w:rsidRPr="00284321">
        <w:t xml:space="preserve"> –</w:t>
      </w:r>
      <w:r w:rsidR="000415A0">
        <w:t xml:space="preserve">activities </w:t>
      </w:r>
      <w:r w:rsidRPr="00284321">
        <w:t xml:space="preserve">have to prioritise the most marginalised groups and avoid contributing to established patterns of discrimination. </w:t>
      </w:r>
    </w:p>
    <w:p w14:paraId="4E0E99A8" w14:textId="51395113" w:rsidR="000E0D57" w:rsidRPr="00284321" w:rsidRDefault="000E0D57" w:rsidP="000E0D57">
      <w:pPr>
        <w:numPr>
          <w:ilvl w:val="0"/>
          <w:numId w:val="49"/>
        </w:numPr>
      </w:pPr>
      <w:r w:rsidRPr="00565C47">
        <w:t xml:space="preserve">Who are the rights holders? Have they been taken into account in designing the contribution? </w:t>
      </w:r>
      <w:r>
        <w:t>Is there u</w:t>
      </w:r>
      <w:r w:rsidRPr="00A05DD7">
        <w:t xml:space="preserve">njustified formal or de facto restriction or exclusion of particular groups from access to resources, services or participation in decision-making </w:t>
      </w:r>
      <w:r>
        <w:t xml:space="preserve">processes? </w:t>
      </w:r>
      <w:r w:rsidRPr="00565C47">
        <w:t>Have efforts been made to include the most marginalised?</w:t>
      </w:r>
      <w:r>
        <w:t xml:space="preserve"> Is the development intervention accessible for persons with disabilities (in line with the EU's obligation under </w:t>
      </w:r>
      <w:hyperlink r:id="rId20" w:anchor="32" w:history="1">
        <w:r w:rsidRPr="00B018DD">
          <w:rPr>
            <w:rStyle w:val="Hyperlink"/>
          </w:rPr>
          <w:t>Article 32 C</w:t>
        </w:r>
        <w:r w:rsidR="000415A0">
          <w:rPr>
            <w:rStyle w:val="Hyperlink"/>
          </w:rPr>
          <w:t xml:space="preserve">onvention on Rights of </w:t>
        </w:r>
        <w:r w:rsidRPr="00B018DD">
          <w:rPr>
            <w:rStyle w:val="Hyperlink"/>
          </w:rPr>
          <w:t>P</w:t>
        </w:r>
        <w:r w:rsidR="000415A0">
          <w:rPr>
            <w:rStyle w:val="Hyperlink"/>
          </w:rPr>
          <w:t>ersons with Disabilities CRPD)</w:t>
        </w:r>
        <w:r w:rsidRPr="00B018DD">
          <w:rPr>
            <w:rStyle w:val="Hyperlink"/>
          </w:rPr>
          <w:t>)</w:t>
        </w:r>
      </w:hyperlink>
      <w:r>
        <w:t>?</w:t>
      </w:r>
    </w:p>
    <w:p w14:paraId="23B851F0" w14:textId="1EE81601" w:rsidR="000E0D57" w:rsidRPr="00284321" w:rsidRDefault="000E0D57" w:rsidP="00543C7F">
      <w:r w:rsidRPr="005E0E67">
        <w:rPr>
          <w:b/>
        </w:rPr>
        <w:lastRenderedPageBreak/>
        <w:t>Accountability and access to the rule of law</w:t>
      </w:r>
      <w:r w:rsidRPr="00284321">
        <w:t xml:space="preserve"> –</w:t>
      </w:r>
      <w:r w:rsidR="000415A0">
        <w:t>activities have</w:t>
      </w:r>
      <w:r w:rsidR="004759BC">
        <w:t xml:space="preserve"> </w:t>
      </w:r>
      <w:r w:rsidRPr="00284321">
        <w:t xml:space="preserve">to promote accessible, transparent and effective mechanisms of accountability </w:t>
      </w:r>
      <w:r w:rsidRPr="00565C47">
        <w:t xml:space="preserve">Who are the duty </w:t>
      </w:r>
      <w:proofErr w:type="gramStart"/>
      <w:r w:rsidRPr="00565C47">
        <w:t>bearers</w:t>
      </w:r>
      <w:r w:rsidR="00786FD8">
        <w:t xml:space="preserve"> </w:t>
      </w:r>
      <w:r w:rsidRPr="00565C47">
        <w:t>?</w:t>
      </w:r>
      <w:proofErr w:type="gramEnd"/>
      <w:r w:rsidRPr="00565C47">
        <w:t xml:space="preserve"> Wh</w:t>
      </w:r>
      <w:r>
        <w:t>ich</w:t>
      </w:r>
      <w:r w:rsidRPr="00565C47">
        <w:t xml:space="preserve"> powers and capacities do they have (and not have) to advance their human rights obligations? </w:t>
      </w:r>
    </w:p>
    <w:p w14:paraId="51DF7B94" w14:textId="4AA13889" w:rsidR="000E0D57" w:rsidRDefault="000E0D57" w:rsidP="000E0D57">
      <w:r w:rsidRPr="005E0E67">
        <w:rPr>
          <w:b/>
        </w:rPr>
        <w:t>Transparency and access to information</w:t>
      </w:r>
      <w:r w:rsidRPr="00284321">
        <w:t xml:space="preserve"> –</w:t>
      </w:r>
      <w:r w:rsidR="001B2610">
        <w:t xml:space="preserve">activities </w:t>
      </w:r>
      <w:r w:rsidRPr="00284321">
        <w:t>have to be transparent, with information available in accessible formats</w:t>
      </w:r>
      <w:r w:rsidR="001B2610">
        <w:t xml:space="preserve"> (for example: local languages</w:t>
      </w:r>
      <w:r w:rsidR="00786FD8">
        <w:t>, etc</w:t>
      </w:r>
      <w:r w:rsidR="001B2610">
        <w:t>.)</w:t>
      </w:r>
      <w:r w:rsidRPr="00284321">
        <w:t xml:space="preserve">. Transparency is paramount for ensuring the application of the other </w:t>
      </w:r>
      <w:r>
        <w:t xml:space="preserve">working principles – </w:t>
      </w:r>
      <w:r w:rsidRPr="00284321">
        <w:t xml:space="preserve">without transparency it is not possible to achieve accountability and participation will not be meaningful. </w:t>
      </w:r>
    </w:p>
    <w:p w14:paraId="0594AD51" w14:textId="4586CA1B" w:rsidR="000E0D57" w:rsidRDefault="000E0D57" w:rsidP="000E0D57">
      <w:pPr>
        <w:numPr>
          <w:ilvl w:val="0"/>
          <w:numId w:val="49"/>
        </w:numPr>
      </w:pPr>
      <w:r w:rsidRPr="0080750A">
        <w:t xml:space="preserve">Is information available in an accessible way </w:t>
      </w:r>
      <w:r>
        <w:t>to</w:t>
      </w:r>
      <w:r w:rsidRPr="0080750A">
        <w:t xml:space="preserve"> all stakeholders </w:t>
      </w:r>
      <w:r w:rsidR="001B2610">
        <w:t xml:space="preserve">(people that are involved in the activities) </w:t>
      </w:r>
      <w:r w:rsidRPr="0080750A">
        <w:t xml:space="preserve">concerned? Are rights holders able to </w:t>
      </w:r>
      <w:r>
        <w:t>participate in</w:t>
      </w:r>
      <w:r w:rsidRPr="0080750A">
        <w:t xml:space="preserve"> meetings and processes where issues </w:t>
      </w:r>
      <w:r>
        <w:t xml:space="preserve">which affect them </w:t>
      </w:r>
      <w:r w:rsidRPr="0080750A">
        <w:t>are discussed?</w:t>
      </w:r>
    </w:p>
    <w:p w14:paraId="62A64AC8" w14:textId="1273E0D9" w:rsidR="00C50454" w:rsidRPr="00FC3DF6" w:rsidRDefault="00284321" w:rsidP="00095425">
      <w:pPr>
        <w:rPr>
          <w:b/>
          <w:szCs w:val="22"/>
        </w:rPr>
      </w:pPr>
      <w:r w:rsidRPr="00FC3DF6">
        <w:rPr>
          <w:b/>
          <w:szCs w:val="22"/>
        </w:rPr>
        <w:t>The working principles</w:t>
      </w:r>
      <w:r w:rsidR="00EC15B5">
        <w:rPr>
          <w:b/>
          <w:szCs w:val="22"/>
        </w:rPr>
        <w:t xml:space="preserve"> mentioned </w:t>
      </w:r>
      <w:r w:rsidR="00786FD8">
        <w:rPr>
          <w:b/>
          <w:szCs w:val="22"/>
        </w:rPr>
        <w:t xml:space="preserve">above </w:t>
      </w:r>
      <w:r w:rsidR="00786FD8" w:rsidRPr="00FC3DF6">
        <w:rPr>
          <w:b/>
          <w:szCs w:val="22"/>
        </w:rPr>
        <w:t>should</w:t>
      </w:r>
      <w:r w:rsidRPr="00FC3DF6">
        <w:rPr>
          <w:b/>
          <w:szCs w:val="22"/>
        </w:rPr>
        <w:t xml:space="preserve"> be implemented as appropriate in relation to the given project.</w:t>
      </w:r>
    </w:p>
    <w:p w14:paraId="322666CB" w14:textId="18392C0F" w:rsidR="00095425" w:rsidRPr="00095425" w:rsidRDefault="00095425" w:rsidP="00095425">
      <w:pPr>
        <w:rPr>
          <w:szCs w:val="22"/>
        </w:rPr>
      </w:pPr>
      <w:r w:rsidRPr="00095425">
        <w:rPr>
          <w:szCs w:val="22"/>
        </w:rPr>
        <w:t xml:space="preserve">In any case, the following types of action </w:t>
      </w:r>
      <w:r w:rsidRPr="00FC3DF6">
        <w:rPr>
          <w:b/>
          <w:szCs w:val="22"/>
        </w:rPr>
        <w:t>are not eligible</w:t>
      </w:r>
      <w:r w:rsidRPr="00095425">
        <w:rPr>
          <w:szCs w:val="22"/>
        </w:rPr>
        <w:t>:</w:t>
      </w:r>
    </w:p>
    <w:p w14:paraId="0642516B" w14:textId="77777777" w:rsidR="00095425" w:rsidRPr="00095425" w:rsidRDefault="00095425" w:rsidP="00095425">
      <w:pPr>
        <w:rPr>
          <w:szCs w:val="22"/>
        </w:rPr>
      </w:pPr>
      <w:r w:rsidRPr="00095425">
        <w:rPr>
          <w:szCs w:val="22"/>
        </w:rPr>
        <w:t>•</w:t>
      </w:r>
      <w:r w:rsidRPr="00095425">
        <w:rPr>
          <w:szCs w:val="22"/>
        </w:rPr>
        <w:tab/>
      </w:r>
      <w:proofErr w:type="gramStart"/>
      <w:r w:rsidRPr="00095425">
        <w:rPr>
          <w:szCs w:val="22"/>
        </w:rPr>
        <w:t>actions</w:t>
      </w:r>
      <w:proofErr w:type="gramEnd"/>
      <w:r w:rsidRPr="00095425">
        <w:rPr>
          <w:szCs w:val="22"/>
        </w:rPr>
        <w:t xml:space="preserve"> concerned only or mainly with individual sponsorships for participation in workshops, seminars, conferences and congresses;</w:t>
      </w:r>
    </w:p>
    <w:p w14:paraId="393A16EA" w14:textId="77777777" w:rsidR="00095425" w:rsidRPr="00095425" w:rsidRDefault="00095425" w:rsidP="00095425">
      <w:pPr>
        <w:rPr>
          <w:szCs w:val="22"/>
        </w:rPr>
      </w:pPr>
      <w:r w:rsidRPr="00095425">
        <w:rPr>
          <w:szCs w:val="22"/>
        </w:rPr>
        <w:t>•</w:t>
      </w:r>
      <w:r w:rsidRPr="00095425">
        <w:rPr>
          <w:szCs w:val="22"/>
        </w:rPr>
        <w:tab/>
      </w:r>
      <w:proofErr w:type="gramStart"/>
      <w:r w:rsidRPr="00095425">
        <w:rPr>
          <w:szCs w:val="22"/>
        </w:rPr>
        <w:t>actions</w:t>
      </w:r>
      <w:proofErr w:type="gramEnd"/>
      <w:r w:rsidRPr="00095425">
        <w:rPr>
          <w:szCs w:val="22"/>
        </w:rPr>
        <w:t xml:space="preserve"> concerned only or mainly with individual scholarships for studies or training courses;</w:t>
      </w:r>
    </w:p>
    <w:p w14:paraId="048DECD2" w14:textId="77777777" w:rsidR="00095425" w:rsidRPr="00095425" w:rsidRDefault="00095425" w:rsidP="00095425">
      <w:pPr>
        <w:rPr>
          <w:szCs w:val="22"/>
        </w:rPr>
      </w:pPr>
      <w:r w:rsidRPr="00095425">
        <w:rPr>
          <w:szCs w:val="22"/>
        </w:rPr>
        <w:t>•</w:t>
      </w:r>
      <w:r w:rsidRPr="00095425">
        <w:rPr>
          <w:szCs w:val="22"/>
        </w:rPr>
        <w:tab/>
      </w:r>
      <w:proofErr w:type="gramStart"/>
      <w:r w:rsidRPr="00095425">
        <w:rPr>
          <w:szCs w:val="22"/>
        </w:rPr>
        <w:t>actions</w:t>
      </w:r>
      <w:proofErr w:type="gramEnd"/>
      <w:r w:rsidRPr="00095425">
        <w:rPr>
          <w:szCs w:val="22"/>
        </w:rPr>
        <w:t xml:space="preserve"> concerned only with one-off conferences. Conferences can only be funded if they form part of a wider range of activities to be implemented during the project;</w:t>
      </w:r>
    </w:p>
    <w:p w14:paraId="53C2F7A6" w14:textId="77777777" w:rsidR="00095425" w:rsidRPr="00095425" w:rsidRDefault="00095425" w:rsidP="00095425">
      <w:pPr>
        <w:rPr>
          <w:szCs w:val="22"/>
        </w:rPr>
      </w:pPr>
      <w:r w:rsidRPr="00095425">
        <w:rPr>
          <w:szCs w:val="22"/>
        </w:rPr>
        <w:t>•</w:t>
      </w:r>
      <w:r w:rsidRPr="00095425">
        <w:rPr>
          <w:szCs w:val="22"/>
        </w:rPr>
        <w:tab/>
      </w:r>
      <w:proofErr w:type="gramStart"/>
      <w:r w:rsidRPr="00095425">
        <w:rPr>
          <w:szCs w:val="22"/>
        </w:rPr>
        <w:t>action</w:t>
      </w:r>
      <w:proofErr w:type="gramEnd"/>
      <w:r w:rsidRPr="00095425">
        <w:rPr>
          <w:szCs w:val="22"/>
        </w:rPr>
        <w:t xml:space="preserve"> where financial support to third parties is the main purpose of the action;</w:t>
      </w:r>
    </w:p>
    <w:p w14:paraId="79A38074" w14:textId="77777777" w:rsidR="00095425" w:rsidRPr="00095425" w:rsidRDefault="00095425" w:rsidP="00095425">
      <w:pPr>
        <w:rPr>
          <w:szCs w:val="22"/>
        </w:rPr>
      </w:pPr>
      <w:r w:rsidRPr="00095425">
        <w:rPr>
          <w:szCs w:val="22"/>
        </w:rPr>
        <w:t>•</w:t>
      </w:r>
      <w:r w:rsidRPr="00095425">
        <w:rPr>
          <w:szCs w:val="22"/>
        </w:rPr>
        <w:tab/>
      </w:r>
      <w:proofErr w:type="gramStart"/>
      <w:r w:rsidRPr="00095425">
        <w:rPr>
          <w:szCs w:val="22"/>
        </w:rPr>
        <w:t>actions</w:t>
      </w:r>
      <w:proofErr w:type="gramEnd"/>
      <w:r w:rsidRPr="00095425">
        <w:rPr>
          <w:szCs w:val="22"/>
        </w:rPr>
        <w:t xml:space="preserve"> supporting political parties;</w:t>
      </w:r>
    </w:p>
    <w:p w14:paraId="1083EA97" w14:textId="77777777" w:rsidR="00095425" w:rsidRPr="00095425" w:rsidRDefault="00095425" w:rsidP="00095425">
      <w:pPr>
        <w:rPr>
          <w:szCs w:val="22"/>
        </w:rPr>
      </w:pPr>
      <w:r w:rsidRPr="00095425">
        <w:rPr>
          <w:szCs w:val="22"/>
        </w:rPr>
        <w:t>•</w:t>
      </w:r>
      <w:r w:rsidRPr="00095425">
        <w:rPr>
          <w:szCs w:val="22"/>
        </w:rPr>
        <w:tab/>
      </w:r>
      <w:proofErr w:type="gramStart"/>
      <w:r w:rsidRPr="00095425">
        <w:rPr>
          <w:szCs w:val="22"/>
        </w:rPr>
        <w:t>actions</w:t>
      </w:r>
      <w:proofErr w:type="gramEnd"/>
      <w:r w:rsidRPr="00095425">
        <w:rPr>
          <w:szCs w:val="22"/>
        </w:rPr>
        <w:t xml:space="preserve"> including </w:t>
      </w:r>
      <w:proofErr w:type="spellStart"/>
      <w:r w:rsidRPr="00095425">
        <w:rPr>
          <w:szCs w:val="22"/>
        </w:rPr>
        <w:t>proselytism</w:t>
      </w:r>
      <w:proofErr w:type="spellEnd"/>
      <w:r w:rsidRPr="00095425">
        <w:rPr>
          <w:szCs w:val="22"/>
        </w:rPr>
        <w:t>.</w:t>
      </w:r>
    </w:p>
    <w:p w14:paraId="2FCB4D7E" w14:textId="77777777" w:rsidR="00095425" w:rsidRPr="00095425" w:rsidRDefault="00095425" w:rsidP="00095425">
      <w:pPr>
        <w:rPr>
          <w:szCs w:val="22"/>
          <w:u w:val="single"/>
        </w:rPr>
      </w:pPr>
      <w:r w:rsidRPr="00095425">
        <w:rPr>
          <w:szCs w:val="22"/>
          <w:u w:val="single"/>
        </w:rPr>
        <w:t xml:space="preserve">Financial support to third parties  </w:t>
      </w:r>
    </w:p>
    <w:p w14:paraId="4912E04A" w14:textId="0285A87F" w:rsidR="00455615" w:rsidRDefault="00095425" w:rsidP="00455615">
      <w:pPr>
        <w:rPr>
          <w:szCs w:val="22"/>
        </w:rPr>
      </w:pPr>
      <w:r w:rsidRPr="00095425">
        <w:rPr>
          <w:szCs w:val="22"/>
        </w:rPr>
        <w:t xml:space="preserve">Applicants may propose financial support to third parties in order to help achieve the objectives of the action. </w:t>
      </w:r>
      <w:r w:rsidR="00455615" w:rsidRPr="00B4576A">
        <w:rPr>
          <w:szCs w:val="22"/>
        </w:rPr>
        <w:t xml:space="preserve">Additional information can be found in Annex </w:t>
      </w:r>
      <w:r w:rsidR="00BC6B52">
        <w:rPr>
          <w:szCs w:val="22"/>
        </w:rPr>
        <w:t>X</w:t>
      </w:r>
      <w:r w:rsidR="00455615" w:rsidRPr="00B4576A">
        <w:rPr>
          <w:szCs w:val="22"/>
        </w:rPr>
        <w:t xml:space="preserve"> of the Guidelines for Applicants.</w:t>
      </w:r>
    </w:p>
    <w:p w14:paraId="462BA60C" w14:textId="5C9DC46F" w:rsidR="00F67CC4" w:rsidRDefault="00F67CC4" w:rsidP="00095425">
      <w:pPr>
        <w:rPr>
          <w:szCs w:val="22"/>
        </w:rPr>
      </w:pPr>
      <w:r>
        <w:rPr>
          <w:szCs w:val="22"/>
        </w:rPr>
        <w:t>Financial support to t</w:t>
      </w:r>
      <w:r w:rsidRPr="00F67CC4">
        <w:rPr>
          <w:szCs w:val="22"/>
        </w:rPr>
        <w:t xml:space="preserve">hird parties is an effective way of reaching out to more and smaller/grass-roots CSOs which do not have the capacity to apply for regular </w:t>
      </w:r>
      <w:r>
        <w:rPr>
          <w:szCs w:val="22"/>
        </w:rPr>
        <w:t xml:space="preserve">European Commission </w:t>
      </w:r>
      <w:r w:rsidRPr="00F67CC4">
        <w:rPr>
          <w:szCs w:val="22"/>
        </w:rPr>
        <w:t xml:space="preserve">Calls for Proposals. </w:t>
      </w:r>
    </w:p>
    <w:p w14:paraId="1852AD92" w14:textId="270AB72E" w:rsidR="00B4576A" w:rsidRDefault="00B4576A" w:rsidP="00095425">
      <w:pPr>
        <w:rPr>
          <w:szCs w:val="22"/>
        </w:rPr>
      </w:pPr>
      <w:r w:rsidRPr="00B4576A">
        <w:rPr>
          <w:szCs w:val="22"/>
        </w:rPr>
        <w:t xml:space="preserve">Third parties are neither affiliated </w:t>
      </w:r>
      <w:proofErr w:type="gramStart"/>
      <w:r w:rsidRPr="00B4576A">
        <w:rPr>
          <w:szCs w:val="22"/>
        </w:rPr>
        <w:t>entity(</w:t>
      </w:r>
      <w:proofErr w:type="spellStart"/>
      <w:proofErr w:type="gramEnd"/>
      <w:r w:rsidRPr="00B4576A">
        <w:rPr>
          <w:szCs w:val="22"/>
        </w:rPr>
        <w:t>ies</w:t>
      </w:r>
      <w:proofErr w:type="spellEnd"/>
      <w:r w:rsidRPr="00B4576A">
        <w:rPr>
          <w:szCs w:val="22"/>
        </w:rPr>
        <w:t xml:space="preserve">) </w:t>
      </w:r>
      <w:r w:rsidR="00BC6B52">
        <w:rPr>
          <w:szCs w:val="22"/>
        </w:rPr>
        <w:t xml:space="preserve">nor co-applicants </w:t>
      </w:r>
      <w:r w:rsidRPr="00B4576A">
        <w:rPr>
          <w:szCs w:val="22"/>
        </w:rPr>
        <w:t>nor associates nor contractors.</w:t>
      </w:r>
    </w:p>
    <w:p w14:paraId="5FFDF83E" w14:textId="2435A032" w:rsidR="00C50454" w:rsidRDefault="00F67CC4" w:rsidP="00095425">
      <w:pPr>
        <w:rPr>
          <w:szCs w:val="22"/>
        </w:rPr>
      </w:pPr>
      <w:r>
        <w:rPr>
          <w:szCs w:val="22"/>
        </w:rPr>
        <w:t xml:space="preserve">This scheme </w:t>
      </w:r>
      <w:r w:rsidRPr="00F67CC4">
        <w:rPr>
          <w:szCs w:val="22"/>
        </w:rPr>
        <w:t xml:space="preserve">allows </w:t>
      </w:r>
      <w:r>
        <w:rPr>
          <w:szCs w:val="22"/>
        </w:rPr>
        <w:t xml:space="preserve">the </w:t>
      </w:r>
      <w:r w:rsidRPr="00F67CC4">
        <w:rPr>
          <w:szCs w:val="22"/>
        </w:rPr>
        <w:t xml:space="preserve">support </w:t>
      </w:r>
      <w:r>
        <w:rPr>
          <w:szCs w:val="22"/>
        </w:rPr>
        <w:t xml:space="preserve">to </w:t>
      </w:r>
      <w:r w:rsidRPr="00F67CC4">
        <w:rPr>
          <w:szCs w:val="22"/>
        </w:rPr>
        <w:t xml:space="preserve">organisations with lower grant amounts </w:t>
      </w:r>
      <w:r>
        <w:rPr>
          <w:szCs w:val="22"/>
        </w:rPr>
        <w:t xml:space="preserve">through calls for proposals </w:t>
      </w:r>
      <w:r w:rsidRPr="00F67CC4">
        <w:rPr>
          <w:szCs w:val="22"/>
        </w:rPr>
        <w:t xml:space="preserve">or other forms of financial support (e.g. scholarship, financial support </w:t>
      </w:r>
      <w:r w:rsidR="00D73FEF">
        <w:rPr>
          <w:szCs w:val="22"/>
        </w:rPr>
        <w:t>to H</w:t>
      </w:r>
      <w:r>
        <w:rPr>
          <w:szCs w:val="22"/>
        </w:rPr>
        <w:t xml:space="preserve">uman </w:t>
      </w:r>
      <w:r w:rsidR="00D73FEF">
        <w:rPr>
          <w:szCs w:val="22"/>
        </w:rPr>
        <w:t>R</w:t>
      </w:r>
      <w:r>
        <w:rPr>
          <w:szCs w:val="22"/>
        </w:rPr>
        <w:t>ights</w:t>
      </w:r>
      <w:r w:rsidR="00D73FEF">
        <w:rPr>
          <w:szCs w:val="22"/>
        </w:rPr>
        <w:t xml:space="preserve"> D</w:t>
      </w:r>
      <w:r>
        <w:rPr>
          <w:szCs w:val="22"/>
        </w:rPr>
        <w:t xml:space="preserve">efenders, </w:t>
      </w:r>
      <w:r w:rsidR="00FC3DF6">
        <w:rPr>
          <w:szCs w:val="22"/>
        </w:rPr>
        <w:t>operating costs,</w:t>
      </w:r>
      <w:r w:rsidRPr="00F67CC4">
        <w:rPr>
          <w:szCs w:val="22"/>
        </w:rPr>
        <w:t xml:space="preserve"> etc.); and through a procedure that may be less technically demanding and more tailor-made to grass-roots organisations.</w:t>
      </w:r>
    </w:p>
    <w:p w14:paraId="4DE0BD9E" w14:textId="6C52E377" w:rsidR="00D73FEF" w:rsidRDefault="00D73FEF" w:rsidP="00095425">
      <w:pPr>
        <w:rPr>
          <w:szCs w:val="22"/>
        </w:rPr>
      </w:pPr>
      <w:r>
        <w:rPr>
          <w:szCs w:val="22"/>
        </w:rPr>
        <w:t xml:space="preserve">It </w:t>
      </w:r>
      <w:r w:rsidRPr="00D73FEF">
        <w:rPr>
          <w:szCs w:val="22"/>
        </w:rPr>
        <w:t>is up to the Applicant (and the co-applicant(s), if applicable) to define in the application the selection procedures for the recipients of financial support to third parties.</w:t>
      </w:r>
    </w:p>
    <w:p w14:paraId="25689BD0" w14:textId="4E885A53" w:rsidR="00095425" w:rsidRPr="00342AFB" w:rsidRDefault="00095425" w:rsidP="00095425">
      <w:pPr>
        <w:rPr>
          <w:b/>
          <w:szCs w:val="22"/>
        </w:rPr>
      </w:pPr>
      <w:r w:rsidRPr="00342AFB">
        <w:rPr>
          <w:b/>
          <w:szCs w:val="22"/>
        </w:rPr>
        <w:t xml:space="preserve">In particular, financial support to third parties is strongly encouraged for proposals submitted by </w:t>
      </w:r>
      <w:r w:rsidRPr="00342AFB">
        <w:rPr>
          <w:b/>
          <w:szCs w:val="22"/>
          <w:u w:val="single"/>
        </w:rPr>
        <w:t>non-local</w:t>
      </w:r>
      <w:r w:rsidRPr="00342AFB">
        <w:rPr>
          <w:b/>
          <w:szCs w:val="22"/>
        </w:rPr>
        <w:t xml:space="preserve"> organisations as lead applicants. </w:t>
      </w:r>
    </w:p>
    <w:p w14:paraId="392E4784" w14:textId="145A418A" w:rsidR="00095425" w:rsidRPr="00095425" w:rsidRDefault="00095425" w:rsidP="00095425">
      <w:pPr>
        <w:rPr>
          <w:szCs w:val="22"/>
        </w:rPr>
      </w:pPr>
      <w:r w:rsidRPr="00095425">
        <w:rPr>
          <w:szCs w:val="22"/>
        </w:rPr>
        <w:t>The maximum amount of financial support per third party is EUR 60,000</w:t>
      </w:r>
      <w:r w:rsidR="00F67CC4">
        <w:rPr>
          <w:szCs w:val="22"/>
        </w:rPr>
        <w:t xml:space="preserve"> </w:t>
      </w:r>
      <w:r w:rsidR="00F67CC4" w:rsidRPr="00225AEA">
        <w:rPr>
          <w:szCs w:val="22"/>
        </w:rPr>
        <w:t>but can be lower depending on a need assessment by the lead applicant.</w:t>
      </w:r>
    </w:p>
    <w:p w14:paraId="3F7A5B56" w14:textId="7E0D0B27" w:rsidR="00095425" w:rsidRPr="00095425" w:rsidRDefault="00095425" w:rsidP="00095425">
      <w:pPr>
        <w:rPr>
          <w:szCs w:val="22"/>
        </w:rPr>
      </w:pPr>
      <w:r w:rsidRPr="00095425">
        <w:rPr>
          <w:szCs w:val="22"/>
        </w:rPr>
        <w:lastRenderedPageBreak/>
        <w:t>In compliance with the present guidelines and notably of any conditions or restrictions in this section, the lead applicant should define mandatorily in section 2.1.1 of the grant application form</w:t>
      </w:r>
      <w:r w:rsidR="00855AFA" w:rsidRPr="00855AFA">
        <w:t xml:space="preserve"> </w:t>
      </w:r>
      <w:r w:rsidR="00855AFA">
        <w:t>(Annex A.2)</w:t>
      </w:r>
      <w:r w:rsidRPr="00095425">
        <w:rPr>
          <w:szCs w:val="22"/>
        </w:rPr>
        <w:t xml:space="preserve">: </w:t>
      </w:r>
    </w:p>
    <w:p w14:paraId="540EB78D" w14:textId="77777777" w:rsidR="00095425" w:rsidRPr="00095425" w:rsidRDefault="00095425" w:rsidP="00095425">
      <w:pPr>
        <w:rPr>
          <w:szCs w:val="22"/>
        </w:rPr>
      </w:pPr>
      <w:r w:rsidRPr="00095425">
        <w:rPr>
          <w:szCs w:val="22"/>
        </w:rPr>
        <w:t>(i)</w:t>
      </w:r>
      <w:r w:rsidRPr="00095425">
        <w:rPr>
          <w:szCs w:val="22"/>
        </w:rPr>
        <w:tab/>
      </w:r>
      <w:proofErr w:type="gramStart"/>
      <w:r w:rsidRPr="00095425">
        <w:rPr>
          <w:szCs w:val="22"/>
        </w:rPr>
        <w:t>the</w:t>
      </w:r>
      <w:proofErr w:type="gramEnd"/>
      <w:r w:rsidRPr="00095425">
        <w:rPr>
          <w:szCs w:val="22"/>
        </w:rPr>
        <w:t xml:space="preserve"> objectives and results to be obtained with the financial support </w:t>
      </w:r>
    </w:p>
    <w:p w14:paraId="53A476BC" w14:textId="77777777" w:rsidR="00095425" w:rsidRPr="00095425" w:rsidRDefault="00095425" w:rsidP="00095425">
      <w:pPr>
        <w:rPr>
          <w:szCs w:val="22"/>
        </w:rPr>
      </w:pPr>
      <w:r w:rsidRPr="00095425">
        <w:rPr>
          <w:szCs w:val="22"/>
        </w:rPr>
        <w:t>(ii)</w:t>
      </w:r>
      <w:r w:rsidRPr="00095425">
        <w:rPr>
          <w:szCs w:val="22"/>
        </w:rPr>
        <w:tab/>
      </w:r>
      <w:proofErr w:type="gramStart"/>
      <w:r w:rsidRPr="00095425">
        <w:rPr>
          <w:szCs w:val="22"/>
        </w:rPr>
        <w:t>the</w:t>
      </w:r>
      <w:proofErr w:type="gramEnd"/>
      <w:r w:rsidRPr="00095425">
        <w:rPr>
          <w:szCs w:val="22"/>
        </w:rPr>
        <w:t xml:space="preserve"> different types of activities eligible for financial support, on the basis of a fixed list </w:t>
      </w:r>
    </w:p>
    <w:p w14:paraId="676BF451" w14:textId="77777777" w:rsidR="00095425" w:rsidRPr="00095425" w:rsidRDefault="00095425" w:rsidP="00095425">
      <w:pPr>
        <w:rPr>
          <w:szCs w:val="22"/>
        </w:rPr>
      </w:pPr>
      <w:r w:rsidRPr="00095425">
        <w:rPr>
          <w:szCs w:val="22"/>
        </w:rPr>
        <w:t>(iii)</w:t>
      </w:r>
      <w:r w:rsidRPr="00095425">
        <w:rPr>
          <w:szCs w:val="22"/>
        </w:rPr>
        <w:tab/>
      </w:r>
      <w:proofErr w:type="gramStart"/>
      <w:r w:rsidRPr="00095425">
        <w:rPr>
          <w:szCs w:val="22"/>
        </w:rPr>
        <w:t>the</w:t>
      </w:r>
      <w:proofErr w:type="gramEnd"/>
      <w:r w:rsidRPr="00095425">
        <w:rPr>
          <w:szCs w:val="22"/>
        </w:rPr>
        <w:t xml:space="preserve"> types of persons or categories of persons which may receive financial support  </w:t>
      </w:r>
    </w:p>
    <w:p w14:paraId="3388C874" w14:textId="77777777" w:rsidR="00095425" w:rsidRPr="00095425" w:rsidRDefault="00095425" w:rsidP="00095425">
      <w:pPr>
        <w:rPr>
          <w:szCs w:val="22"/>
        </w:rPr>
      </w:pPr>
      <w:r w:rsidRPr="00095425">
        <w:rPr>
          <w:szCs w:val="22"/>
        </w:rPr>
        <w:t>(iv)</w:t>
      </w:r>
      <w:r w:rsidRPr="00095425">
        <w:rPr>
          <w:szCs w:val="22"/>
        </w:rPr>
        <w:tab/>
      </w:r>
      <w:proofErr w:type="gramStart"/>
      <w:r w:rsidRPr="00095425">
        <w:rPr>
          <w:szCs w:val="22"/>
        </w:rPr>
        <w:t>the</w:t>
      </w:r>
      <w:proofErr w:type="gramEnd"/>
      <w:r w:rsidRPr="00095425">
        <w:rPr>
          <w:szCs w:val="22"/>
        </w:rPr>
        <w:t xml:space="preserve"> criteria for selecting these entities and giving the financial support  </w:t>
      </w:r>
    </w:p>
    <w:p w14:paraId="217EDBBD" w14:textId="6FD77CAB" w:rsidR="00095425" w:rsidRPr="00095425" w:rsidRDefault="00095425" w:rsidP="00095425">
      <w:pPr>
        <w:rPr>
          <w:szCs w:val="22"/>
        </w:rPr>
      </w:pPr>
      <w:r w:rsidRPr="00095425">
        <w:rPr>
          <w:szCs w:val="22"/>
        </w:rPr>
        <w:t>(v)</w:t>
      </w:r>
      <w:r w:rsidRPr="00095425">
        <w:rPr>
          <w:szCs w:val="22"/>
        </w:rPr>
        <w:tab/>
      </w:r>
      <w:proofErr w:type="gramStart"/>
      <w:r w:rsidRPr="00095425">
        <w:rPr>
          <w:szCs w:val="22"/>
        </w:rPr>
        <w:t>the</w:t>
      </w:r>
      <w:proofErr w:type="gramEnd"/>
      <w:r w:rsidRPr="00095425">
        <w:rPr>
          <w:szCs w:val="22"/>
        </w:rPr>
        <w:t xml:space="preserve"> criteria for determining the exact amount of financial support for each third entity </w:t>
      </w:r>
    </w:p>
    <w:p w14:paraId="1AC0B415" w14:textId="1EA65D70" w:rsidR="00095425" w:rsidRDefault="00095425" w:rsidP="00095425">
      <w:pPr>
        <w:rPr>
          <w:szCs w:val="22"/>
        </w:rPr>
      </w:pPr>
      <w:r w:rsidRPr="00095425">
        <w:rPr>
          <w:szCs w:val="22"/>
        </w:rPr>
        <w:t>(vi)</w:t>
      </w:r>
      <w:r w:rsidRPr="00095425">
        <w:rPr>
          <w:szCs w:val="22"/>
        </w:rPr>
        <w:tab/>
      </w:r>
      <w:proofErr w:type="gramStart"/>
      <w:r w:rsidRPr="00095425">
        <w:rPr>
          <w:szCs w:val="22"/>
        </w:rPr>
        <w:t>the</w:t>
      </w:r>
      <w:proofErr w:type="gramEnd"/>
      <w:r w:rsidRPr="00095425">
        <w:rPr>
          <w:szCs w:val="22"/>
        </w:rPr>
        <w:t xml:space="preserve"> maximum amount which may be given</w:t>
      </w:r>
    </w:p>
    <w:p w14:paraId="72F6A618" w14:textId="6F5B5EB6" w:rsidR="00F74D76" w:rsidRPr="00095425" w:rsidRDefault="00F74D76" w:rsidP="00095425">
      <w:pPr>
        <w:rPr>
          <w:szCs w:val="22"/>
        </w:rPr>
      </w:pPr>
      <w:r w:rsidRPr="00F74D76">
        <w:t>(vii)</w:t>
      </w:r>
      <w:r w:rsidRPr="00F74D76">
        <w:tab/>
      </w:r>
      <w:proofErr w:type="gramStart"/>
      <w:r w:rsidR="00855AFA">
        <w:t>s</w:t>
      </w:r>
      <w:r w:rsidRPr="00F74D76">
        <w:t>ystem</w:t>
      </w:r>
      <w:proofErr w:type="gramEnd"/>
      <w:r w:rsidRPr="00F74D76">
        <w:t xml:space="preserve"> of control set up to verify the eligibility of costs</w:t>
      </w:r>
    </w:p>
    <w:p w14:paraId="3B235509" w14:textId="50318C3C" w:rsidR="00AE04FB" w:rsidRDefault="00095425" w:rsidP="00AE04FB">
      <w:r w:rsidRPr="00095425">
        <w:rPr>
          <w:szCs w:val="22"/>
        </w:rPr>
        <w:t>The quality and integration of the financial support to third parties (including in the Budget) will be taken into account at all stages of technical evaluation</w:t>
      </w:r>
      <w:r w:rsidR="00AE04FB">
        <w:rPr>
          <w:szCs w:val="22"/>
        </w:rPr>
        <w:t xml:space="preserve"> and specifically</w:t>
      </w:r>
      <w:r w:rsidR="00AE04FB" w:rsidRPr="00AE04FB">
        <w:t xml:space="preserve"> </w:t>
      </w:r>
      <w:r w:rsidR="00AE04FB" w:rsidRPr="00225AEA">
        <w:t>in section 1.3 of the Concept Note Evaluation Grid</w:t>
      </w:r>
      <w:r w:rsidR="00AE04FB">
        <w:t xml:space="preserve"> and in section </w:t>
      </w:r>
      <w:r w:rsidR="00AE04FB" w:rsidRPr="006D790A">
        <w:t>3.1 of the Full Application Evaluation Grid.</w:t>
      </w:r>
      <w:r w:rsidR="00AE04FB">
        <w:t xml:space="preserve"> </w:t>
      </w:r>
    </w:p>
    <w:p w14:paraId="250EDC8F" w14:textId="2A502A03" w:rsidR="00F74D76" w:rsidRDefault="00F74D76" w:rsidP="00095425">
      <w:pPr>
        <w:rPr>
          <w:szCs w:val="22"/>
        </w:rPr>
      </w:pPr>
      <w:r>
        <w:rPr>
          <w:szCs w:val="22"/>
        </w:rPr>
        <w:t>Please refer to Annex X for additional information on Financial Support to Third Parties.</w:t>
      </w:r>
    </w:p>
    <w:p w14:paraId="60DA5132" w14:textId="77777777" w:rsidR="00107C6D" w:rsidRPr="00807DAF" w:rsidRDefault="00107C6D" w:rsidP="006B6048">
      <w:pPr>
        <w:rPr>
          <w:szCs w:val="22"/>
          <w:u w:val="single"/>
        </w:rPr>
      </w:pPr>
      <w:r w:rsidRPr="00090D7D">
        <w:rPr>
          <w:szCs w:val="22"/>
          <w:u w:val="single"/>
        </w:rPr>
        <w:t>Visibility</w:t>
      </w:r>
    </w:p>
    <w:p w14:paraId="3269E107" w14:textId="77777777" w:rsidR="00622160" w:rsidRPr="00807DAF" w:rsidRDefault="00622160" w:rsidP="00622160">
      <w:r w:rsidRPr="00807DAF">
        <w:t xml:space="preserve">The </w:t>
      </w:r>
      <w:r w:rsidR="00021E33">
        <w:t>a</w:t>
      </w:r>
      <w:r w:rsidRPr="00807DAF">
        <w:t xml:space="preserve">pplicants must take all necessary steps to publicise the fact that the European Union has financed or co-financed the </w:t>
      </w:r>
      <w:r w:rsidR="00021E33">
        <w:t>a</w:t>
      </w:r>
      <w:r w:rsidRPr="00807DAF">
        <w:t>ction. As far as possible, actions that are wholly or partially funded by the European Union must incorporate information and communication activities designed to raise the awareness of specific or general audiences of the reasons for the action and the EU support for the action in the country or region concerned, as well as the results and the impact of this support.</w:t>
      </w:r>
    </w:p>
    <w:p w14:paraId="22EA98AB" w14:textId="77777777" w:rsidR="002E1A6E" w:rsidRPr="00B06AE6" w:rsidRDefault="00EE729B" w:rsidP="00F07D41">
      <w:r w:rsidRPr="00807DAF">
        <w:t>A</w:t>
      </w:r>
      <w:r w:rsidR="002A4866" w:rsidRPr="00807DAF">
        <w:t>pplicant</w:t>
      </w:r>
      <w:r w:rsidRPr="00807DAF">
        <w:t>s</w:t>
      </w:r>
      <w:r w:rsidR="002A4866" w:rsidRPr="00807DAF">
        <w:t xml:space="preserve"> must comply with the objectives and priorities and guarantee the visibility of the EU</w:t>
      </w:r>
      <w:r w:rsidRPr="00807DAF">
        <w:t xml:space="preserve"> </w:t>
      </w:r>
      <w:r w:rsidR="002A4866" w:rsidRPr="00807DAF">
        <w:t xml:space="preserve">financing (see the Communication and Visibility Manual for EU external actions </w:t>
      </w:r>
      <w:r w:rsidR="009F1A11" w:rsidRPr="00807DAF">
        <w:t>specified</w:t>
      </w:r>
      <w:r w:rsidR="002A4866" w:rsidRPr="00807DAF">
        <w:t xml:space="preserve"> and published by the European Commission at</w:t>
      </w:r>
      <w:r w:rsidR="0099684C">
        <w:t xml:space="preserve"> </w:t>
      </w:r>
      <w:hyperlink r:id="rId21" w:history="1">
        <w:r w:rsidR="0099684C" w:rsidRPr="0099684C">
          <w:rPr>
            <w:rStyle w:val="Hyperlink"/>
            <w:snapToGrid w:val="0"/>
          </w:rPr>
          <w:t>https://ec.europa.eu/europeaid/communication-and-visibility-manual-eu-external-actions_en</w:t>
        </w:r>
      </w:hyperlink>
      <w:r w:rsidR="002A4866" w:rsidRPr="00807DAF">
        <w:t>).</w:t>
      </w:r>
    </w:p>
    <w:p w14:paraId="1CEFAAC5" w14:textId="77777777" w:rsidR="0007408E" w:rsidRDefault="0007408E" w:rsidP="006B6048">
      <w:pPr>
        <w:rPr>
          <w:u w:val="single"/>
        </w:rPr>
      </w:pPr>
      <w:r w:rsidRPr="00807DAF">
        <w:rPr>
          <w:u w:val="single"/>
        </w:rPr>
        <w:t xml:space="preserve">Number of </w:t>
      </w:r>
      <w:r w:rsidR="006459C5" w:rsidRPr="00807DAF">
        <w:rPr>
          <w:u w:val="single"/>
        </w:rPr>
        <w:t>application</w:t>
      </w:r>
      <w:r w:rsidRPr="00807DAF">
        <w:rPr>
          <w:u w:val="single"/>
        </w:rPr>
        <w:t xml:space="preserve">s and grants per </w:t>
      </w:r>
      <w:r w:rsidR="00A01434">
        <w:rPr>
          <w:u w:val="single"/>
        </w:rPr>
        <w:t>applicants / affiliated entities</w:t>
      </w:r>
    </w:p>
    <w:p w14:paraId="31770875" w14:textId="77777777" w:rsidR="00EE2B05" w:rsidRDefault="00EE2B05" w:rsidP="00EE2B05">
      <w:r w:rsidRPr="00342AFB">
        <w:rPr>
          <w:b/>
        </w:rPr>
        <w:t>An organisation may not be participating more than once in the present call for proposals as lead applicant or co-applicant.</w:t>
      </w:r>
      <w:r w:rsidRPr="00EE2B05">
        <w:t xml:space="preserve"> Should this be the case, the EC will only consider the first proposal arrived (based on the date and hour of submission) and any other additional proposal will be rejected. It is the responsibility of each lead applicant to verify that its co-applicants are not involved as lead applicant or co-applicant in other proposals.</w:t>
      </w:r>
    </w:p>
    <w:p w14:paraId="3E8C2F85" w14:textId="77777777" w:rsidR="0007408E" w:rsidRPr="00807DAF" w:rsidRDefault="0007408E" w:rsidP="007A0900">
      <w:pPr>
        <w:pStyle w:val="Guidelines3"/>
        <w:numPr>
          <w:ilvl w:val="2"/>
          <w:numId w:val="15"/>
        </w:numPr>
      </w:pPr>
      <w:bookmarkStart w:id="13" w:name="_Toc487024642"/>
      <w:r w:rsidRPr="00807DAF">
        <w:t xml:space="preserve">Eligibility of costs: costs </w:t>
      </w:r>
      <w:r w:rsidR="00302E84" w:rsidRPr="00807DAF">
        <w:t>that can</w:t>
      </w:r>
      <w:r w:rsidR="003137E2" w:rsidRPr="00807DAF">
        <w:t xml:space="preserve"> be</w:t>
      </w:r>
      <w:r w:rsidR="00302E84" w:rsidRPr="00807DAF">
        <w:t xml:space="preserve"> </w:t>
      </w:r>
      <w:r w:rsidR="00A575A2" w:rsidRPr="00807DAF">
        <w:t>included</w:t>
      </w:r>
      <w:bookmarkEnd w:id="13"/>
      <w:r w:rsidR="00A575A2" w:rsidRPr="00807DAF">
        <w:t xml:space="preserve"> </w:t>
      </w:r>
    </w:p>
    <w:p w14:paraId="2307D1F1" w14:textId="77777777" w:rsidR="009F4DBB" w:rsidRPr="00807DAF" w:rsidRDefault="0007408E" w:rsidP="006B6048">
      <w:pPr>
        <w:spacing w:before="240"/>
      </w:pPr>
      <w:proofErr w:type="gramStart"/>
      <w:r w:rsidRPr="00807DAF">
        <w:t xml:space="preserve">Only </w:t>
      </w:r>
      <w:r w:rsidR="00A016F9" w:rsidRPr="00807DAF">
        <w:t>‘</w:t>
      </w:r>
      <w:r w:rsidR="00356DFC" w:rsidRPr="00807DAF">
        <w:t>eligible costs</w:t>
      </w:r>
      <w:r w:rsidR="00A016F9" w:rsidRPr="00807DAF">
        <w:t>’</w:t>
      </w:r>
      <w:r w:rsidR="00356DFC" w:rsidRPr="00807DAF">
        <w:t xml:space="preserve"> </w:t>
      </w:r>
      <w:r w:rsidRPr="00807DAF">
        <w:t xml:space="preserve">can be </w:t>
      </w:r>
      <w:r w:rsidR="000B1032" w:rsidRPr="00807DAF">
        <w:t>covered by</w:t>
      </w:r>
      <w:r w:rsidRPr="00807DAF">
        <w:t xml:space="preserve"> a grant.</w:t>
      </w:r>
      <w:proofErr w:type="gramEnd"/>
      <w:r w:rsidRPr="00807DAF">
        <w:t xml:space="preserve"> The</w:t>
      </w:r>
      <w:r w:rsidR="000735EC" w:rsidRPr="00807DAF">
        <w:t xml:space="preserve"> categories of costs </w:t>
      </w:r>
      <w:r w:rsidR="00A575A2" w:rsidRPr="00807DAF">
        <w:t>that are</w:t>
      </w:r>
      <w:r w:rsidR="000735EC" w:rsidRPr="00807DAF">
        <w:t xml:space="preserve"> eligible and non-eligible are indicated below.</w:t>
      </w:r>
      <w:r w:rsidR="002F3F27" w:rsidRPr="00807DAF">
        <w:t xml:space="preserve"> </w:t>
      </w:r>
      <w:r w:rsidRPr="00807DAF">
        <w:t>The budget is both a cost estimate and a</w:t>
      </w:r>
      <w:r w:rsidR="009444A8" w:rsidRPr="00807DAF">
        <w:t>n</w:t>
      </w:r>
      <w:r w:rsidRPr="00807DAF">
        <w:t xml:space="preserve"> </w:t>
      </w:r>
      <w:r w:rsidR="009444A8" w:rsidRPr="00807DAF">
        <w:t xml:space="preserve">overall </w:t>
      </w:r>
      <w:r w:rsidRPr="00807DAF">
        <w:t xml:space="preserve">ceiling for </w:t>
      </w:r>
      <w:r w:rsidR="00A016F9" w:rsidRPr="00807DAF">
        <w:t>‘</w:t>
      </w:r>
      <w:r w:rsidRPr="00807DAF">
        <w:t>eligible costs</w:t>
      </w:r>
      <w:r w:rsidR="00A016F9" w:rsidRPr="00807DAF">
        <w:t>’</w:t>
      </w:r>
      <w:r w:rsidRPr="00807DAF">
        <w:t xml:space="preserve">. </w:t>
      </w:r>
    </w:p>
    <w:p w14:paraId="7E0DCF1B" w14:textId="77777777" w:rsidR="00B17D2F" w:rsidRPr="00807DAF" w:rsidRDefault="00B17D2F" w:rsidP="006B6048">
      <w:r w:rsidRPr="00807DAF">
        <w:t>The reimbursement of eligible costs may be based on any or a combination of the following forms:</w:t>
      </w:r>
    </w:p>
    <w:p w14:paraId="72CF46BA" w14:textId="77777777" w:rsidR="00463413" w:rsidRPr="00807DAF" w:rsidRDefault="00463413" w:rsidP="007A0900">
      <w:pPr>
        <w:numPr>
          <w:ilvl w:val="0"/>
          <w:numId w:val="18"/>
        </w:numPr>
      </w:pPr>
      <w:r w:rsidRPr="00807DAF">
        <w:t>actual costs incurred</w:t>
      </w:r>
      <w:r w:rsidR="001C71F8" w:rsidRPr="00807DAF">
        <w:t xml:space="preserve"> by the </w:t>
      </w:r>
      <w:r w:rsidR="009D4DE2">
        <w:t>b</w:t>
      </w:r>
      <w:r w:rsidR="001C71F8" w:rsidRPr="00807DAF">
        <w:t>eneficiary(</w:t>
      </w:r>
      <w:proofErr w:type="spellStart"/>
      <w:r w:rsidR="001C71F8" w:rsidRPr="00807DAF">
        <w:t>ies</w:t>
      </w:r>
      <w:proofErr w:type="spellEnd"/>
      <w:r w:rsidR="001C71F8" w:rsidRPr="00807DAF">
        <w:t>) and affiliated entity(</w:t>
      </w:r>
      <w:proofErr w:type="spellStart"/>
      <w:r w:rsidR="001C71F8" w:rsidRPr="00807DAF">
        <w:t>ies</w:t>
      </w:r>
      <w:proofErr w:type="spellEnd"/>
      <w:r w:rsidR="001C71F8" w:rsidRPr="00807DAF">
        <w:t>)</w:t>
      </w:r>
    </w:p>
    <w:p w14:paraId="14D93A72" w14:textId="77777777" w:rsidR="00B17D2F" w:rsidRPr="00807DAF" w:rsidRDefault="00463413" w:rsidP="007A0900">
      <w:pPr>
        <w:numPr>
          <w:ilvl w:val="0"/>
          <w:numId w:val="18"/>
        </w:numPr>
      </w:pPr>
      <w:proofErr w:type="gramStart"/>
      <w:r w:rsidRPr="00807DAF">
        <w:t>one</w:t>
      </w:r>
      <w:proofErr w:type="gramEnd"/>
      <w:r w:rsidRPr="00807DAF">
        <w:t xml:space="preserve"> or more simplified cost options</w:t>
      </w:r>
      <w:r w:rsidR="00B17D2F" w:rsidRPr="00807DAF">
        <w:t>.</w:t>
      </w:r>
    </w:p>
    <w:p w14:paraId="6CA3D80A" w14:textId="77777777" w:rsidR="008109C1" w:rsidRPr="00807DAF" w:rsidRDefault="008109C1" w:rsidP="006B6048">
      <w:pPr>
        <w:rPr>
          <w:b/>
        </w:rPr>
      </w:pPr>
      <w:r w:rsidRPr="00807DAF">
        <w:t>Simplified cost options may take the form of:</w:t>
      </w:r>
    </w:p>
    <w:p w14:paraId="64A3F36A" w14:textId="77777777" w:rsidR="008109C1" w:rsidRPr="00807DAF" w:rsidRDefault="008109C1" w:rsidP="007A0900">
      <w:pPr>
        <w:numPr>
          <w:ilvl w:val="0"/>
          <w:numId w:val="19"/>
        </w:numPr>
      </w:pPr>
      <w:proofErr w:type="gramStart"/>
      <w:r w:rsidRPr="00807DAF">
        <w:rPr>
          <w:b/>
        </w:rPr>
        <w:lastRenderedPageBreak/>
        <w:t>unit</w:t>
      </w:r>
      <w:proofErr w:type="gramEnd"/>
      <w:r w:rsidRPr="00807DAF">
        <w:rPr>
          <w:b/>
        </w:rPr>
        <w:t xml:space="preserve"> costs:</w:t>
      </w:r>
      <w:r w:rsidRPr="00807DAF">
        <w:t xml:space="preserve"> covering all or certain specific categories of eligible costs which are clearly identified in advance by reference to an </w:t>
      </w:r>
      <w:r w:rsidRPr="00807DAF">
        <w:rPr>
          <w:u w:val="single"/>
        </w:rPr>
        <w:t>amount per unit</w:t>
      </w:r>
      <w:r w:rsidRPr="00807DAF">
        <w:t>.</w:t>
      </w:r>
    </w:p>
    <w:p w14:paraId="00BE060C" w14:textId="77777777" w:rsidR="008109C1" w:rsidRPr="00807DAF" w:rsidRDefault="008109C1" w:rsidP="007A0900">
      <w:pPr>
        <w:numPr>
          <w:ilvl w:val="0"/>
          <w:numId w:val="19"/>
        </w:numPr>
      </w:pPr>
      <w:proofErr w:type="gramStart"/>
      <w:r w:rsidRPr="00807DAF">
        <w:rPr>
          <w:b/>
        </w:rPr>
        <w:t>lump</w:t>
      </w:r>
      <w:proofErr w:type="gramEnd"/>
      <w:r w:rsidRPr="00807DAF">
        <w:rPr>
          <w:b/>
        </w:rPr>
        <w:t xml:space="preserve"> sums: </w:t>
      </w:r>
      <w:r w:rsidRPr="00807DAF">
        <w:t xml:space="preserve">covering in </w:t>
      </w:r>
      <w:r w:rsidRPr="00807DAF">
        <w:rPr>
          <w:u w:val="single"/>
        </w:rPr>
        <w:t>global terms</w:t>
      </w:r>
      <w:r w:rsidRPr="00807DAF">
        <w:t xml:space="preserve"> all or certain specific categories of eligible costs which are clearly identified in advance.</w:t>
      </w:r>
    </w:p>
    <w:p w14:paraId="14FABA5A" w14:textId="77777777" w:rsidR="008109C1" w:rsidRPr="00807DAF" w:rsidRDefault="008109C1" w:rsidP="007A0900">
      <w:pPr>
        <w:numPr>
          <w:ilvl w:val="0"/>
          <w:numId w:val="19"/>
        </w:numPr>
      </w:pPr>
      <w:proofErr w:type="gramStart"/>
      <w:r w:rsidRPr="00807DAF">
        <w:rPr>
          <w:b/>
        </w:rPr>
        <w:t>flat-rate</w:t>
      </w:r>
      <w:proofErr w:type="gramEnd"/>
      <w:r w:rsidRPr="00807DAF">
        <w:rPr>
          <w:b/>
        </w:rPr>
        <w:t xml:space="preserve"> financing: </w:t>
      </w:r>
      <w:r w:rsidRPr="00807DAF">
        <w:t xml:space="preserve">covering specific categories of eligible costs which are clearly identified in advance by </w:t>
      </w:r>
      <w:r w:rsidRPr="00807DAF">
        <w:rPr>
          <w:u w:val="single"/>
        </w:rPr>
        <w:t>applying a percentage</w:t>
      </w:r>
      <w:r w:rsidRPr="00807DAF">
        <w:t xml:space="preserve"> fixed ex ante.</w:t>
      </w:r>
    </w:p>
    <w:p w14:paraId="71CBC6D1" w14:textId="77777777" w:rsidR="007E5576" w:rsidRPr="00807DAF" w:rsidRDefault="007E5576" w:rsidP="0068216F">
      <w:r w:rsidRPr="00807DAF">
        <w:t>The amounts</w:t>
      </w:r>
      <w:r w:rsidR="006A7D36" w:rsidRPr="00807DAF">
        <w:t xml:space="preserve"> or rates</w:t>
      </w:r>
      <w:r w:rsidRPr="00807DAF">
        <w:t xml:space="preserve"> have to be based on estimates using objective data such as statistical data or any other objective means or with reference to certified or auditable historical data of the </w:t>
      </w:r>
      <w:r w:rsidR="001C71F8" w:rsidRPr="00807DAF">
        <w:t>a</w:t>
      </w:r>
      <w:r w:rsidRPr="00807DAF">
        <w:t>pplicant</w:t>
      </w:r>
      <w:r w:rsidR="001C71F8" w:rsidRPr="00807DAF">
        <w:t xml:space="preserve">s or the affiliated </w:t>
      </w:r>
      <w:proofErr w:type="gramStart"/>
      <w:r w:rsidR="001C71F8" w:rsidRPr="00807DAF">
        <w:t>entity(</w:t>
      </w:r>
      <w:proofErr w:type="spellStart"/>
      <w:proofErr w:type="gramEnd"/>
      <w:r w:rsidR="001C71F8" w:rsidRPr="00807DAF">
        <w:t>ies</w:t>
      </w:r>
      <w:proofErr w:type="spellEnd"/>
      <w:r w:rsidR="001C71F8" w:rsidRPr="00807DAF">
        <w:t>)</w:t>
      </w:r>
      <w:r w:rsidRPr="00807DAF">
        <w:t>. The methods used to determine the amounts</w:t>
      </w:r>
      <w:r w:rsidR="001C71F8" w:rsidRPr="00807DAF">
        <w:t xml:space="preserve"> or rates</w:t>
      </w:r>
      <w:r w:rsidRPr="00807DAF">
        <w:t xml:space="preserve"> of unit costs, lump sums or flat-rates must comply with the criteria established in Annex </w:t>
      </w:r>
      <w:r w:rsidR="0019373F" w:rsidRPr="00807DAF">
        <w:t>K</w:t>
      </w:r>
      <w:r w:rsidRPr="00807DAF">
        <w:t xml:space="preserve">, and especially ensure that the costs correspond fairly to the actual costs incurred by the </w:t>
      </w:r>
      <w:proofErr w:type="gramStart"/>
      <w:r w:rsidR="009D4DE2">
        <w:t>b</w:t>
      </w:r>
      <w:r w:rsidR="001C71F8" w:rsidRPr="00807DAF">
        <w:t>eneficiary(</w:t>
      </w:r>
      <w:proofErr w:type="spellStart"/>
      <w:proofErr w:type="gramEnd"/>
      <w:r w:rsidR="001C71F8" w:rsidRPr="00807DAF">
        <w:t>ies</w:t>
      </w:r>
      <w:proofErr w:type="spellEnd"/>
      <w:r w:rsidR="001C71F8" w:rsidRPr="00807DAF">
        <w:t>) and affiliated entity(</w:t>
      </w:r>
      <w:proofErr w:type="spellStart"/>
      <w:r w:rsidR="001C71F8" w:rsidRPr="00807DAF">
        <w:t>ies</w:t>
      </w:r>
      <w:proofErr w:type="spellEnd"/>
      <w:r w:rsidR="001C71F8" w:rsidRPr="00807DAF">
        <w:t>),</w:t>
      </w:r>
      <w:r w:rsidR="0019373F" w:rsidRPr="00807DAF">
        <w:t xml:space="preserve"> are in line with their</w:t>
      </w:r>
      <w:r w:rsidRPr="00807DAF">
        <w:t xml:space="preserve"> accounting practices, no profit is made and the costs are not already covered by other sources of funding (no double funding). </w:t>
      </w:r>
      <w:r w:rsidR="00A02946" w:rsidRPr="00807DAF">
        <w:t xml:space="preserve">Refer to </w:t>
      </w:r>
      <w:r w:rsidRPr="00807DAF">
        <w:t xml:space="preserve">Annex </w:t>
      </w:r>
      <w:r w:rsidR="0019373F" w:rsidRPr="00807DAF">
        <w:t>K</w:t>
      </w:r>
      <w:r w:rsidRPr="00807DAF">
        <w:t xml:space="preserve"> </w:t>
      </w:r>
      <w:r w:rsidR="00A02946" w:rsidRPr="00807DAF">
        <w:t>for</w:t>
      </w:r>
      <w:r w:rsidRPr="00807DAF">
        <w:t xml:space="preserve"> directions and a checklist of controls to assess the minimum necessary conditions that provide reasonable assurance for the acceptance of the proposed amounts.</w:t>
      </w:r>
    </w:p>
    <w:p w14:paraId="31972724" w14:textId="77777777" w:rsidR="0080592F" w:rsidRPr="00807DAF" w:rsidRDefault="00203C30" w:rsidP="0068216F">
      <w:r>
        <w:t>A</w:t>
      </w:r>
      <w:r w:rsidR="0080592F" w:rsidRPr="00807DAF">
        <w:t>pplicant</w:t>
      </w:r>
      <w:r>
        <w:t>s</w:t>
      </w:r>
      <w:r w:rsidR="0080592F" w:rsidRPr="00807DAF">
        <w:t xml:space="preserve"> proposing this form of reimbursement, must clearly indicate in worksheet no.1 of Annex B, each heading/item  of eligible costs concerned by this type of financing, i.e. add the reference in capital letters to "UNIT </w:t>
      </w:r>
      <w:r w:rsidR="007D1451" w:rsidRPr="00807DAF">
        <w:t>COST</w:t>
      </w:r>
      <w:r w:rsidR="0080592F" w:rsidRPr="00807DAF">
        <w:t xml:space="preserve">" (per month/flight </w:t>
      </w:r>
      <w:proofErr w:type="spellStart"/>
      <w:r w:rsidR="0080592F" w:rsidRPr="00807DAF">
        <w:t>etc</w:t>
      </w:r>
      <w:proofErr w:type="spellEnd"/>
      <w:r w:rsidR="0080592F" w:rsidRPr="00807DAF">
        <w:t>), "LUMPSUM" or "FLAT RATE" in the Unit column. (</w:t>
      </w:r>
      <w:proofErr w:type="gramStart"/>
      <w:r w:rsidR="0080592F" w:rsidRPr="00807DAF">
        <w:t>see</w:t>
      </w:r>
      <w:proofErr w:type="gramEnd"/>
      <w:r w:rsidR="0080592F" w:rsidRPr="00807DAF">
        <w:t xml:space="preserve"> example in Annex K)</w:t>
      </w:r>
    </w:p>
    <w:p w14:paraId="0EC55ED5" w14:textId="77777777" w:rsidR="00E47803" w:rsidRPr="00807DAF" w:rsidRDefault="00E47803" w:rsidP="0068216F">
      <w:r w:rsidRPr="00807DAF">
        <w:t xml:space="preserve">Additionally in Annex </w:t>
      </w:r>
      <w:r w:rsidR="001C71F8" w:rsidRPr="00807DAF">
        <w:t>B</w:t>
      </w:r>
      <w:r w:rsidRPr="00807DAF">
        <w:t>, in the second column of worksheet no.2, "Justification of the estimated costs" per each of the corresponding budget item or heading applicant</w:t>
      </w:r>
      <w:r w:rsidR="009D4DE2">
        <w:t>s</w:t>
      </w:r>
      <w:r w:rsidRPr="00807DAF">
        <w:t xml:space="preserve"> must:</w:t>
      </w:r>
    </w:p>
    <w:p w14:paraId="44D3C12F" w14:textId="77777777" w:rsidR="00E47803" w:rsidRPr="00807DAF" w:rsidRDefault="00E47803" w:rsidP="007A0900">
      <w:pPr>
        <w:numPr>
          <w:ilvl w:val="0"/>
          <w:numId w:val="20"/>
        </w:numPr>
      </w:pPr>
      <w:proofErr w:type="gramStart"/>
      <w:r w:rsidRPr="00807DAF">
        <w:t>describe</w:t>
      </w:r>
      <w:proofErr w:type="gramEnd"/>
      <w:r w:rsidRPr="00807DAF">
        <w:t xml:space="preserve"> the information and methods used to establish the amounts of unit costs, lump sums and/or flat-rates, to which costs they refer</w:t>
      </w:r>
      <w:r w:rsidR="0090351E" w:rsidRPr="00807DAF">
        <w:t>, etc.</w:t>
      </w:r>
    </w:p>
    <w:p w14:paraId="0AA6FD92" w14:textId="77777777" w:rsidR="00E47803" w:rsidRPr="00807DAF" w:rsidRDefault="00E47803" w:rsidP="007A0900">
      <w:pPr>
        <w:numPr>
          <w:ilvl w:val="0"/>
          <w:numId w:val="20"/>
        </w:numPr>
        <w:rPr>
          <w:bCs/>
        </w:rPr>
      </w:pPr>
      <w:r w:rsidRPr="00807DAF">
        <w:t>clearly explain the formulas for calculation of the final eligible amount</w:t>
      </w:r>
      <w:r w:rsidRPr="00807DAF">
        <w:rPr>
          <w:rStyle w:val="FootnoteReference"/>
        </w:rPr>
        <w:footnoteReference w:id="33"/>
      </w:r>
    </w:p>
    <w:p w14:paraId="435A872E" w14:textId="77777777" w:rsidR="00E47803" w:rsidRPr="00807DAF" w:rsidRDefault="00A02946" w:rsidP="007A0900">
      <w:pPr>
        <w:numPr>
          <w:ilvl w:val="0"/>
          <w:numId w:val="20"/>
        </w:numPr>
      </w:pPr>
      <w:r w:rsidRPr="00807DAF">
        <w:t xml:space="preserve">identify the beneficiary who will use the simplified cost option (in case of affiliated entity, specify first the beneficiary), in order to verify the maximum amount </w:t>
      </w:r>
      <w:r w:rsidR="00E47803" w:rsidRPr="00807DAF">
        <w:t xml:space="preserve">per </w:t>
      </w:r>
      <w:r w:rsidR="001C71F8" w:rsidRPr="00807DAF">
        <w:t xml:space="preserve">each </w:t>
      </w:r>
      <w:r w:rsidR="00E47803" w:rsidRPr="00807DAF">
        <w:t>beneficiary</w:t>
      </w:r>
      <w:r w:rsidR="001C71F8" w:rsidRPr="00807DAF">
        <w:t xml:space="preserve"> (which includ</w:t>
      </w:r>
      <w:r w:rsidR="00625380" w:rsidRPr="00807DAF">
        <w:t xml:space="preserve">es if applicable simplified cost options of </w:t>
      </w:r>
      <w:r w:rsidR="001C71F8" w:rsidRPr="00807DAF">
        <w:t>its affiliated entity(</w:t>
      </w:r>
      <w:proofErr w:type="spellStart"/>
      <w:r w:rsidR="001C71F8" w:rsidRPr="00807DAF">
        <w:t>ies</w:t>
      </w:r>
      <w:proofErr w:type="spellEnd"/>
      <w:r w:rsidR="001C71F8" w:rsidRPr="00807DAF">
        <w:t>))</w:t>
      </w:r>
    </w:p>
    <w:p w14:paraId="0300D1F2" w14:textId="77777777" w:rsidR="006A7D36" w:rsidRPr="00807DAF" w:rsidRDefault="006A7D36" w:rsidP="0068216F">
      <w:r w:rsidRPr="00807DAF">
        <w:t>At contracting phase, the Contracting Authority decides whether to accept the proposed amounts or rates on the basis of the provisional budget submitted by the applicant</w:t>
      </w:r>
      <w:r w:rsidR="009D4DE2">
        <w:t>s</w:t>
      </w:r>
      <w:r w:rsidRPr="00807DAF">
        <w:t>, by analysing factual data of grants carried out by the</w:t>
      </w:r>
      <w:r w:rsidR="00757ACE">
        <w:t xml:space="preserve"> </w:t>
      </w:r>
      <w:r w:rsidRPr="00807DAF">
        <w:t>applicant</w:t>
      </w:r>
      <w:r w:rsidR="009D4DE2">
        <w:t>s</w:t>
      </w:r>
      <w:r w:rsidRPr="00807DAF">
        <w:t xml:space="preserve"> or of similar actions and by performing checks established by</w:t>
      </w:r>
      <w:r w:rsidR="0019373F" w:rsidRPr="00807DAF">
        <w:t xml:space="preserve"> Annex K</w:t>
      </w:r>
      <w:r w:rsidRPr="00807DAF">
        <w:t xml:space="preserve">. </w:t>
      </w:r>
    </w:p>
    <w:p w14:paraId="5182E969" w14:textId="77777777" w:rsidR="006A7D36" w:rsidRPr="00807DAF" w:rsidRDefault="006A7D36" w:rsidP="0068216F">
      <w:r w:rsidRPr="00807DAF">
        <w:t xml:space="preserve">The total amount of financing on the basis of simplified cost options that can be authorised by the Contracting Authority for any of the applicants individually </w:t>
      </w:r>
      <w:r w:rsidR="00C776EE" w:rsidRPr="00807DAF">
        <w:t xml:space="preserve">(including simplified cost options proposed by their own affiliated entities) </w:t>
      </w:r>
      <w:r w:rsidRPr="00225AEA">
        <w:t xml:space="preserve">cannot exceed EUR 60 000 (the indirect costs </w:t>
      </w:r>
      <w:r w:rsidR="00181D7A" w:rsidRPr="00225AEA">
        <w:t>are not</w:t>
      </w:r>
      <w:r w:rsidRPr="00225AEA">
        <w:t xml:space="preserve"> taken into account).</w:t>
      </w:r>
      <w:r w:rsidRPr="00807DAF">
        <w:t xml:space="preserve"> </w:t>
      </w:r>
    </w:p>
    <w:p w14:paraId="26413957" w14:textId="77777777" w:rsidR="0007408E" w:rsidRPr="00807DAF" w:rsidRDefault="0007408E" w:rsidP="0068216F">
      <w:r w:rsidRPr="00807DAF">
        <w:t>Recommendations to award a grant are always subject to the condition that the check</w:t>
      </w:r>
      <w:r w:rsidR="002E38E4" w:rsidRPr="00807DAF">
        <w:t>s</w:t>
      </w:r>
      <w:r w:rsidRPr="00807DAF">
        <w:t xml:space="preserve"> preced</w:t>
      </w:r>
      <w:r w:rsidR="002E38E4" w:rsidRPr="00807DAF">
        <w:t>ing</w:t>
      </w:r>
      <w:r w:rsidRPr="00807DAF">
        <w:t xml:space="preserve"> the signing of the </w:t>
      </w:r>
      <w:r w:rsidR="009D4DE2">
        <w:t>g</w:t>
      </w:r>
      <w:r w:rsidR="007355F6">
        <w:t xml:space="preserve">rant </w:t>
      </w:r>
      <w:r w:rsidR="009D4DE2">
        <w:t>c</w:t>
      </w:r>
      <w:r w:rsidRPr="00807DAF">
        <w:t>ontract do not reveal problems requiring changes to the budget</w:t>
      </w:r>
      <w:r w:rsidR="00A52D95" w:rsidRPr="00807DAF">
        <w:t xml:space="preserve"> (</w:t>
      </w:r>
      <w:r w:rsidR="002E38E4" w:rsidRPr="00807DAF">
        <w:t>such as</w:t>
      </w:r>
      <w:r w:rsidR="00A52D95" w:rsidRPr="00807DAF">
        <w:t xml:space="preserve"> arithmetical errors, inaccuracies</w:t>
      </w:r>
      <w:r w:rsidR="000B1032" w:rsidRPr="00807DAF">
        <w:t>,</w:t>
      </w:r>
      <w:r w:rsidR="00A52D95" w:rsidRPr="00807DAF">
        <w:t xml:space="preserve"> unrealistic c</w:t>
      </w:r>
      <w:r w:rsidR="00D7610D" w:rsidRPr="00807DAF">
        <w:t>osts and ineligible costs</w:t>
      </w:r>
      <w:r w:rsidR="00A52D95" w:rsidRPr="00807DAF">
        <w:t>)</w:t>
      </w:r>
      <w:r w:rsidRPr="00807DAF">
        <w:t xml:space="preserve">. The checks may give rise to requests for clarification and may lead the </w:t>
      </w:r>
      <w:r w:rsidR="002E4196" w:rsidRPr="00807DAF">
        <w:t>C</w:t>
      </w:r>
      <w:r w:rsidRPr="00807DAF">
        <w:t xml:space="preserve">ontracting </w:t>
      </w:r>
      <w:r w:rsidR="002E4196" w:rsidRPr="00807DAF">
        <w:t>A</w:t>
      </w:r>
      <w:r w:rsidRPr="00807DAF">
        <w:t xml:space="preserve">uthority to impose </w:t>
      </w:r>
      <w:r w:rsidR="00CE18C9" w:rsidRPr="00807DAF">
        <w:t xml:space="preserve">modifications or </w:t>
      </w:r>
      <w:r w:rsidRPr="00807DAF">
        <w:t>reductions</w:t>
      </w:r>
      <w:r w:rsidR="00A52D95" w:rsidRPr="00807DAF">
        <w:t xml:space="preserve"> to address </w:t>
      </w:r>
      <w:r w:rsidR="00A52D95" w:rsidRPr="00807DAF">
        <w:lastRenderedPageBreak/>
        <w:t>such mistakes or inaccuracies</w:t>
      </w:r>
      <w:r w:rsidRPr="00807DAF">
        <w:t>.</w:t>
      </w:r>
      <w:r w:rsidR="001870D3" w:rsidRPr="00807DAF">
        <w:t xml:space="preserve"> </w:t>
      </w:r>
      <w:r w:rsidR="000B1032" w:rsidRPr="00807DAF">
        <w:t xml:space="preserve">It is not possible to increase </w:t>
      </w:r>
      <w:r w:rsidR="00CE18C9" w:rsidRPr="00807DAF">
        <w:t xml:space="preserve">the </w:t>
      </w:r>
      <w:r w:rsidR="001870D3" w:rsidRPr="00807DAF">
        <w:t xml:space="preserve">grant </w:t>
      </w:r>
      <w:r w:rsidR="000B1032" w:rsidRPr="00807DAF">
        <w:t xml:space="preserve">or </w:t>
      </w:r>
      <w:r w:rsidR="00F278A6" w:rsidRPr="00807DAF">
        <w:t xml:space="preserve">the percentage of </w:t>
      </w:r>
      <w:r w:rsidR="006B5799" w:rsidRPr="00807DAF">
        <w:t xml:space="preserve">EU </w:t>
      </w:r>
      <w:r w:rsidR="00F278A6" w:rsidRPr="00807DAF">
        <w:t>co-financing as a result of these corrections</w:t>
      </w:r>
      <w:r w:rsidR="00FB2666" w:rsidRPr="00807DAF">
        <w:t>.</w:t>
      </w:r>
    </w:p>
    <w:p w14:paraId="2F418111" w14:textId="77777777" w:rsidR="00470700" w:rsidRDefault="0007408E" w:rsidP="0068216F">
      <w:pPr>
        <w:rPr>
          <w:b/>
        </w:rPr>
      </w:pPr>
      <w:r w:rsidRPr="00807DAF">
        <w:t>It is therefore in the applicants</w:t>
      </w:r>
      <w:r w:rsidR="009D4DE2">
        <w:t>'</w:t>
      </w:r>
      <w:r w:rsidRPr="00807DAF">
        <w:t xml:space="preserve"> interest to provide a </w:t>
      </w:r>
      <w:r w:rsidRPr="00807DAF">
        <w:rPr>
          <w:b/>
        </w:rPr>
        <w:t>realistic and cost-effective budget</w:t>
      </w:r>
    </w:p>
    <w:p w14:paraId="6F1E5A7E" w14:textId="77777777" w:rsidR="00470700" w:rsidRP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The simplified cost option may also take the form of an apportionment of Field Office's costs.</w:t>
      </w:r>
    </w:p>
    <w:p w14:paraId="7A8286A3" w14:textId="77777777" w:rsidR="00470700" w:rsidRP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 xml:space="preserve">Field Office </w:t>
      </w:r>
      <w:r w:rsidR="00232F9A">
        <w:rPr>
          <w:snapToGrid w:val="0"/>
        </w:rPr>
        <w:t xml:space="preserve">means </w:t>
      </w:r>
      <w:r w:rsidRPr="00470700">
        <w:rPr>
          <w:snapToGrid w:val="0"/>
        </w:rPr>
        <w:t xml:space="preserve">a local infrastructure set up in one of the countries where the action is implemented or a nearby country. (Where the action is implemented in several third countries there can be more than one Field Office). </w:t>
      </w:r>
      <w:r w:rsidR="00667AAA" w:rsidRPr="00667AAA">
        <w:rPr>
          <w:snapToGrid w:val="0"/>
        </w:rPr>
        <w:t>That may consist of costs for local office as well as human resources.</w:t>
      </w:r>
      <w:r w:rsidRPr="00470700">
        <w:rPr>
          <w:snapToGrid w:val="0"/>
        </w:rPr>
        <w:t xml:space="preserve"> </w:t>
      </w:r>
    </w:p>
    <w:p w14:paraId="7C740695" w14:textId="77777777" w:rsidR="00470700" w:rsidRP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 xml:space="preserve">A Field Office may be exclusively dedicated to the action financed (or co-financed) by the </w:t>
      </w:r>
      <w:r w:rsidR="00232F9A">
        <w:rPr>
          <w:snapToGrid w:val="0"/>
        </w:rPr>
        <w:t>EU</w:t>
      </w:r>
      <w:r w:rsidRPr="00470700">
        <w:rPr>
          <w:snapToGrid w:val="0"/>
        </w:rPr>
        <w:t xml:space="preserve"> or may be used for other projects implemented in the partner country. When the Field Office is used for other projects, only the portion of capitalised and operating costs which corresponds to the duration of the action </w:t>
      </w:r>
      <w:r w:rsidR="00C81896" w:rsidRPr="00C81896">
        <w:rPr>
          <w:snapToGrid w:val="0"/>
        </w:rPr>
        <w:t>and the rate of actual use of the field office for the purpose of the action</w:t>
      </w:r>
      <w:r w:rsidR="00C81896">
        <w:rPr>
          <w:snapToGrid w:val="0"/>
        </w:rPr>
        <w:t xml:space="preserve"> </w:t>
      </w:r>
      <w:r w:rsidRPr="00470700">
        <w:rPr>
          <w:snapToGrid w:val="0"/>
        </w:rPr>
        <w:t>may be declared as eligible direct costs.</w:t>
      </w:r>
    </w:p>
    <w:p w14:paraId="0A2D8D93" w14:textId="77777777" w:rsidR="00470700" w:rsidRP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 xml:space="preserve">The portion of costs attributable to the action can be declared as actual costs or determined by </w:t>
      </w:r>
      <w:r>
        <w:rPr>
          <w:snapToGrid w:val="0"/>
        </w:rPr>
        <w:t xml:space="preserve">the </w:t>
      </w:r>
      <w:proofErr w:type="gramStart"/>
      <w:r w:rsidR="00232F9A">
        <w:rPr>
          <w:snapToGrid w:val="0"/>
        </w:rPr>
        <w:t>b</w:t>
      </w:r>
      <w:r w:rsidRPr="00470700">
        <w:rPr>
          <w:snapToGrid w:val="0"/>
        </w:rPr>
        <w:t>eneficiary</w:t>
      </w:r>
      <w:r w:rsidR="00232F9A">
        <w:rPr>
          <w:snapToGrid w:val="0"/>
        </w:rPr>
        <w:t>(</w:t>
      </w:r>
      <w:proofErr w:type="spellStart"/>
      <w:proofErr w:type="gramEnd"/>
      <w:r w:rsidR="00232F9A">
        <w:rPr>
          <w:snapToGrid w:val="0"/>
        </w:rPr>
        <w:t>ies</w:t>
      </w:r>
      <w:proofErr w:type="spellEnd"/>
      <w:r w:rsidR="00232F9A">
        <w:rPr>
          <w:snapToGrid w:val="0"/>
        </w:rPr>
        <w:t>)</w:t>
      </w:r>
      <w:r w:rsidRPr="00470700">
        <w:rPr>
          <w:snapToGrid w:val="0"/>
        </w:rPr>
        <w:t xml:space="preserve"> on the basis of a simplified allocation method (apportionment)</w:t>
      </w:r>
      <w:r>
        <w:rPr>
          <w:snapToGrid w:val="0"/>
        </w:rPr>
        <w:t>.</w:t>
      </w:r>
    </w:p>
    <w:p w14:paraId="109CF53B" w14:textId="77777777" w:rsidR="00470700" w:rsidRP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Th</w:t>
      </w:r>
      <w:r>
        <w:rPr>
          <w:snapToGrid w:val="0"/>
        </w:rPr>
        <w:t>e</w:t>
      </w:r>
      <w:r w:rsidRPr="00470700">
        <w:rPr>
          <w:snapToGrid w:val="0"/>
        </w:rPr>
        <w:t xml:space="preserve"> method of allocation has to be:</w:t>
      </w:r>
    </w:p>
    <w:p w14:paraId="70788E14" w14:textId="77777777" w:rsidR="00470700" w:rsidRP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 xml:space="preserve">1. Compliant with the beneficiary's usual accounting and management practices and applied in a consistent manner regardless of the source of funding and </w:t>
      </w:r>
    </w:p>
    <w:p w14:paraId="5BEF9791" w14:textId="77777777" w:rsidR="00470700" w:rsidRP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2. Based on an objective, fair and reliable allocation keys. (Please refer to Annex K to have examples of acceptable allocation keys).</w:t>
      </w:r>
    </w:p>
    <w:p w14:paraId="11966AB9" w14:textId="77777777" w:rsidR="00470700" w:rsidRP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A description prepared by the entity of the allocation method used to determine Field Office's costs in accordance with the entity's usual cost accounting and management practices and explaining how the method satisfy condition 1 and 2 indicated above, has to be presented in a separate sheet and annexed to the Budget.</w:t>
      </w:r>
    </w:p>
    <w:p w14:paraId="5288F4E7" w14:textId="77777777" w:rsidR="00DC5B05"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 xml:space="preserve">The method will be assessed and accepted by the </w:t>
      </w:r>
      <w:r w:rsidR="00232F9A">
        <w:rPr>
          <w:snapToGrid w:val="0"/>
        </w:rPr>
        <w:t>e</w:t>
      </w:r>
      <w:r w:rsidRPr="00470700">
        <w:rPr>
          <w:snapToGrid w:val="0"/>
        </w:rPr>
        <w:t xml:space="preserve">valuation </w:t>
      </w:r>
      <w:r w:rsidR="00232F9A">
        <w:rPr>
          <w:snapToGrid w:val="0"/>
        </w:rPr>
        <w:t>c</w:t>
      </w:r>
      <w:r w:rsidRPr="00470700">
        <w:rPr>
          <w:snapToGrid w:val="0"/>
        </w:rPr>
        <w:t>ommittee and the Contracting Authority at contracting phase.</w:t>
      </w:r>
      <w:r w:rsidR="00DC5B05">
        <w:rPr>
          <w:snapToGrid w:val="0"/>
        </w:rPr>
        <w:t xml:space="preserve"> The applicant is invited to submit (where relevant) the list of contracts to which the methodology proposed had been already applied and for which proper application was confirmed by an expenditure verification.</w:t>
      </w:r>
      <w:r w:rsidRPr="00470700">
        <w:rPr>
          <w:snapToGrid w:val="0"/>
        </w:rPr>
        <w:t xml:space="preserve"> </w:t>
      </w:r>
    </w:p>
    <w:p w14:paraId="6B281682" w14:textId="77777777" w:rsid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A</w:t>
      </w:r>
      <w:r>
        <w:rPr>
          <w:snapToGrid w:val="0"/>
        </w:rPr>
        <w:t>t the time of carrying out</w:t>
      </w:r>
      <w:r w:rsidRPr="00470700">
        <w:rPr>
          <w:snapToGrid w:val="0"/>
        </w:rPr>
        <w:t xml:space="preserve"> the expenditure verifications, the auditors will check if the costs reported are compliant with the method described by the </w:t>
      </w:r>
      <w:proofErr w:type="gramStart"/>
      <w:r w:rsidR="00232F9A">
        <w:rPr>
          <w:snapToGrid w:val="0"/>
        </w:rPr>
        <w:t>beneficiary(</w:t>
      </w:r>
      <w:proofErr w:type="spellStart"/>
      <w:proofErr w:type="gramEnd"/>
      <w:r w:rsidR="00232F9A">
        <w:rPr>
          <w:snapToGrid w:val="0"/>
        </w:rPr>
        <w:t>ies</w:t>
      </w:r>
      <w:proofErr w:type="spellEnd"/>
      <w:r w:rsidR="00232F9A">
        <w:rPr>
          <w:snapToGrid w:val="0"/>
        </w:rPr>
        <w:t xml:space="preserve">) </w:t>
      </w:r>
      <w:r w:rsidRPr="00470700">
        <w:rPr>
          <w:snapToGrid w:val="0"/>
        </w:rPr>
        <w:t>and accepted by the Contracting Authority.</w:t>
      </w:r>
    </w:p>
    <w:p w14:paraId="7BF47C33" w14:textId="77777777" w:rsidR="000076B8" w:rsidRPr="00470700" w:rsidRDefault="000076B8" w:rsidP="00470700">
      <w:pPr>
        <w:pBdr>
          <w:top w:val="single" w:sz="12" w:space="1" w:color="auto"/>
          <w:left w:val="single" w:sz="12" w:space="4" w:color="auto"/>
          <w:bottom w:val="single" w:sz="12" w:space="1" w:color="auto"/>
          <w:right w:val="single" w:sz="12" w:space="4" w:color="auto"/>
        </w:pBdr>
        <w:spacing w:before="0" w:after="200"/>
        <w:rPr>
          <w:snapToGrid w:val="0"/>
        </w:rPr>
      </w:pPr>
      <w:r w:rsidRPr="000076B8">
        <w:rPr>
          <w:snapToGrid w:val="0"/>
        </w:rPr>
        <w:t xml:space="preserve">Adequate record and documentation must be kept by the </w:t>
      </w:r>
      <w:proofErr w:type="gramStart"/>
      <w:r w:rsidR="00232F9A">
        <w:rPr>
          <w:snapToGrid w:val="0"/>
        </w:rPr>
        <w:t>beneficiary(</w:t>
      </w:r>
      <w:proofErr w:type="spellStart"/>
      <w:proofErr w:type="gramEnd"/>
      <w:r w:rsidR="00232F9A">
        <w:rPr>
          <w:snapToGrid w:val="0"/>
        </w:rPr>
        <w:t>ies</w:t>
      </w:r>
      <w:proofErr w:type="spellEnd"/>
      <w:r w:rsidR="00232F9A">
        <w:rPr>
          <w:snapToGrid w:val="0"/>
        </w:rPr>
        <w:t xml:space="preserve">) </w:t>
      </w:r>
      <w:r w:rsidRPr="000076B8">
        <w:rPr>
          <w:snapToGrid w:val="0"/>
        </w:rPr>
        <w:t>to prove the compliance of the simplified allocation method used with the conditions set out</w:t>
      </w:r>
      <w:r>
        <w:rPr>
          <w:snapToGrid w:val="0"/>
        </w:rPr>
        <w:t xml:space="preserve"> above</w:t>
      </w:r>
      <w:r w:rsidRPr="000076B8">
        <w:rPr>
          <w:snapToGrid w:val="0"/>
        </w:rPr>
        <w:t>. Upon request of the</w:t>
      </w:r>
      <w:r>
        <w:rPr>
          <w:snapToGrid w:val="0"/>
        </w:rPr>
        <w:t xml:space="preserve"> </w:t>
      </w:r>
      <w:proofErr w:type="gramStart"/>
      <w:r w:rsidR="00232F9A">
        <w:rPr>
          <w:snapToGrid w:val="0"/>
        </w:rPr>
        <w:t>b</w:t>
      </w:r>
      <w:r>
        <w:rPr>
          <w:snapToGrid w:val="0"/>
        </w:rPr>
        <w:t>eneficiary</w:t>
      </w:r>
      <w:r w:rsidR="00232F9A">
        <w:rPr>
          <w:snapToGrid w:val="0"/>
        </w:rPr>
        <w:t>(</w:t>
      </w:r>
      <w:proofErr w:type="spellStart"/>
      <w:proofErr w:type="gramEnd"/>
      <w:r w:rsidR="00232F9A">
        <w:rPr>
          <w:snapToGrid w:val="0"/>
        </w:rPr>
        <w:t>ies</w:t>
      </w:r>
      <w:proofErr w:type="spellEnd"/>
      <w:r w:rsidR="00232F9A">
        <w:rPr>
          <w:snapToGrid w:val="0"/>
        </w:rPr>
        <w:t>)</w:t>
      </w:r>
      <w:r w:rsidRPr="000076B8">
        <w:rPr>
          <w:snapToGrid w:val="0"/>
        </w:rPr>
        <w:t xml:space="preserve">, this compliance can be assessed and approved ex-ante by </w:t>
      </w:r>
      <w:r>
        <w:rPr>
          <w:snapToGrid w:val="0"/>
        </w:rPr>
        <w:t>an independent external auditor</w:t>
      </w:r>
      <w:r w:rsidRPr="000076B8">
        <w:rPr>
          <w:snapToGrid w:val="0"/>
        </w:rPr>
        <w:t xml:space="preserve">. In such a case, the simplified allocation method </w:t>
      </w:r>
      <w:r w:rsidR="00DC5B05">
        <w:rPr>
          <w:snapToGrid w:val="0"/>
        </w:rPr>
        <w:t>will be automatically accepted by the evaluation committee and it will not be</w:t>
      </w:r>
      <w:r w:rsidRPr="000076B8">
        <w:rPr>
          <w:snapToGrid w:val="0"/>
        </w:rPr>
        <w:t xml:space="preserve"> challenged ex post.</w:t>
      </w:r>
    </w:p>
    <w:p w14:paraId="6D4D9DD8" w14:textId="77777777" w:rsidR="00470700" w:rsidRPr="00470700" w:rsidRDefault="00470700" w:rsidP="0047070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When costs are declared on the basis of such allocation method t</w:t>
      </w:r>
      <w:r>
        <w:rPr>
          <w:snapToGrid w:val="0"/>
        </w:rPr>
        <w:t>he amount charged to the action</w:t>
      </w:r>
      <w:r w:rsidRPr="00470700">
        <w:rPr>
          <w:snapToGrid w:val="0"/>
        </w:rPr>
        <w:t xml:space="preserve"> is to be indicated in the column "TOTAL COSTS" and the mention "APPORTIONMENT" is to be indicated in the column "units" (under budget heading 1 (Human resources) and 4 (Local Office) of the Budget).</w:t>
      </w:r>
    </w:p>
    <w:p w14:paraId="55AD6845" w14:textId="77777777" w:rsidR="00470700" w:rsidRDefault="00470700" w:rsidP="00283D20">
      <w:pPr>
        <w:pBdr>
          <w:top w:val="single" w:sz="12" w:space="1" w:color="auto"/>
          <w:left w:val="single" w:sz="12" w:space="4" w:color="auto"/>
          <w:bottom w:val="single" w:sz="12" w:space="1" w:color="auto"/>
          <w:right w:val="single" w:sz="12" w:space="4" w:color="auto"/>
        </w:pBdr>
        <w:spacing w:before="0" w:after="200"/>
        <w:rPr>
          <w:snapToGrid w:val="0"/>
        </w:rPr>
      </w:pPr>
      <w:r w:rsidRPr="00470700">
        <w:rPr>
          <w:snapToGrid w:val="0"/>
        </w:rPr>
        <w:t xml:space="preserve">It has to be noted that the </w:t>
      </w:r>
      <w:r>
        <w:rPr>
          <w:snapToGrid w:val="0"/>
        </w:rPr>
        <w:t xml:space="preserve">EUR </w:t>
      </w:r>
      <w:r w:rsidRPr="00470700">
        <w:rPr>
          <w:snapToGrid w:val="0"/>
        </w:rPr>
        <w:t>60.000 limit</w:t>
      </w:r>
      <w:r>
        <w:rPr>
          <w:snapToGrid w:val="0"/>
        </w:rPr>
        <w:t>,</w:t>
      </w:r>
      <w:r w:rsidRPr="00470700">
        <w:rPr>
          <w:snapToGrid w:val="0"/>
        </w:rPr>
        <w:t xml:space="preserve"> otherwise applicable to costs declared on the basis of </w:t>
      </w:r>
      <w:r w:rsidR="00232F9A">
        <w:rPr>
          <w:snapToGrid w:val="0"/>
        </w:rPr>
        <w:t>s</w:t>
      </w:r>
      <w:r w:rsidRPr="00470700">
        <w:rPr>
          <w:snapToGrid w:val="0"/>
        </w:rPr>
        <w:t xml:space="preserve">implified </w:t>
      </w:r>
      <w:r w:rsidR="00232F9A">
        <w:rPr>
          <w:snapToGrid w:val="0"/>
        </w:rPr>
        <w:t>c</w:t>
      </w:r>
      <w:r w:rsidRPr="00470700">
        <w:rPr>
          <w:snapToGrid w:val="0"/>
        </w:rPr>
        <w:t xml:space="preserve">ost </w:t>
      </w:r>
      <w:r w:rsidR="00232F9A">
        <w:rPr>
          <w:snapToGrid w:val="0"/>
        </w:rPr>
        <w:t>o</w:t>
      </w:r>
      <w:r w:rsidRPr="00470700">
        <w:rPr>
          <w:snapToGrid w:val="0"/>
        </w:rPr>
        <w:t>ptions</w:t>
      </w:r>
      <w:r>
        <w:rPr>
          <w:snapToGrid w:val="0"/>
        </w:rPr>
        <w:t>,</w:t>
      </w:r>
      <w:r w:rsidRPr="00470700">
        <w:rPr>
          <w:snapToGrid w:val="0"/>
        </w:rPr>
        <w:t xml:space="preserve"> is not relevant for costs declared following apportionment of Field Offices. </w:t>
      </w:r>
    </w:p>
    <w:p w14:paraId="480F1DEB" w14:textId="77777777" w:rsidR="0007408E" w:rsidRPr="00807DAF" w:rsidRDefault="0007408E" w:rsidP="0068216F">
      <w:pPr>
        <w:rPr>
          <w:u w:val="single"/>
        </w:rPr>
      </w:pPr>
      <w:r w:rsidRPr="00807DAF">
        <w:rPr>
          <w:u w:val="single"/>
        </w:rPr>
        <w:t>Eligible direct costs</w:t>
      </w:r>
    </w:p>
    <w:p w14:paraId="06FB8D7A" w14:textId="77777777" w:rsidR="0007408E" w:rsidRPr="00807DAF" w:rsidRDefault="0007408E" w:rsidP="0068216F">
      <w:r w:rsidRPr="00807DAF">
        <w:t>To be eligible under th</w:t>
      </w:r>
      <w:r w:rsidR="009D4DE2">
        <w:t>is</w:t>
      </w:r>
      <w:r w:rsidRPr="00807DAF">
        <w:t xml:space="preserve"> </w:t>
      </w:r>
      <w:r w:rsidR="0065158A">
        <w:t>c</w:t>
      </w:r>
      <w:r w:rsidRPr="00807DAF">
        <w:t xml:space="preserve">all for </w:t>
      </w:r>
      <w:r w:rsidR="0065158A">
        <w:t>p</w:t>
      </w:r>
      <w:r w:rsidRPr="00807DAF">
        <w:t>roposals, costs must</w:t>
      </w:r>
      <w:r w:rsidR="001870D3" w:rsidRPr="00807DAF">
        <w:t xml:space="preserve"> </w:t>
      </w:r>
      <w:r w:rsidR="00FB2666" w:rsidRPr="00807DAF">
        <w:t xml:space="preserve">comply with </w:t>
      </w:r>
      <w:r w:rsidR="001870D3" w:rsidRPr="00807DAF">
        <w:t xml:space="preserve">the provisions of </w:t>
      </w:r>
      <w:r w:rsidR="001D0C7B" w:rsidRPr="00807DAF">
        <w:t xml:space="preserve">Article </w:t>
      </w:r>
      <w:r w:rsidR="001870D3" w:rsidRPr="00807DAF">
        <w:t xml:space="preserve">14 of the General Conditions to the </w:t>
      </w:r>
      <w:r w:rsidR="00AD4EAD">
        <w:t>s</w:t>
      </w:r>
      <w:r w:rsidR="001870D3" w:rsidRPr="00807DAF">
        <w:t xml:space="preserve">tandard </w:t>
      </w:r>
      <w:r w:rsidR="00AD4EAD">
        <w:t>g</w:t>
      </w:r>
      <w:r w:rsidR="001870D3" w:rsidRPr="00807DAF">
        <w:t xml:space="preserve">rant </w:t>
      </w:r>
      <w:r w:rsidR="00AD4EAD">
        <w:t>c</w:t>
      </w:r>
      <w:r w:rsidR="001870D3" w:rsidRPr="00807DAF">
        <w:t xml:space="preserve">ontract </w:t>
      </w:r>
      <w:r w:rsidR="00F06CB4" w:rsidRPr="00807DAF">
        <w:t>(see Annex G</w:t>
      </w:r>
      <w:r w:rsidR="004A51E9" w:rsidRPr="00807DAF">
        <w:t xml:space="preserve"> of the </w:t>
      </w:r>
      <w:r w:rsidR="00AD4EAD">
        <w:t>g</w:t>
      </w:r>
      <w:r w:rsidR="004A51E9" w:rsidRPr="00807DAF">
        <w:t>uidelines</w:t>
      </w:r>
      <w:r w:rsidR="00CE18C9" w:rsidRPr="00807DAF">
        <w:t>).</w:t>
      </w:r>
    </w:p>
    <w:p w14:paraId="7A9E3CBC" w14:textId="77777777" w:rsidR="007034C6" w:rsidRPr="00807DAF" w:rsidRDefault="007034C6" w:rsidP="0068216F">
      <w:pPr>
        <w:rPr>
          <w:u w:val="single"/>
        </w:rPr>
      </w:pPr>
      <w:r w:rsidRPr="00807DAF">
        <w:rPr>
          <w:u w:val="single"/>
        </w:rPr>
        <w:lastRenderedPageBreak/>
        <w:t>Contingency reserve</w:t>
      </w:r>
    </w:p>
    <w:p w14:paraId="238CF73A" w14:textId="77777777" w:rsidR="007034C6" w:rsidRPr="00807DAF" w:rsidRDefault="000B1032" w:rsidP="0068216F">
      <w:r w:rsidRPr="00807DAF">
        <w:t xml:space="preserve">The </w:t>
      </w:r>
      <w:r w:rsidR="00CF5740" w:rsidRPr="00807DAF">
        <w:t>b</w:t>
      </w:r>
      <w:r w:rsidRPr="00807DAF">
        <w:t>udget may include a</w:t>
      </w:r>
      <w:r w:rsidR="007034C6" w:rsidRPr="00807DAF">
        <w:t xml:space="preserve"> contingency reserve not exceeding 5</w:t>
      </w:r>
      <w:r w:rsidR="00A016F9" w:rsidRPr="00807DAF">
        <w:rPr>
          <w:w w:val="50"/>
        </w:rPr>
        <w:t> </w:t>
      </w:r>
      <w:r w:rsidR="007034C6" w:rsidRPr="00807DAF">
        <w:t>% of the</w:t>
      </w:r>
      <w:r w:rsidR="00584247" w:rsidRPr="00807DAF">
        <w:t xml:space="preserve"> estimated</w:t>
      </w:r>
      <w:r w:rsidR="007034C6" w:rsidRPr="00807DAF">
        <w:t xml:space="preserve"> direct eligible costs. It can only be used with the </w:t>
      </w:r>
      <w:r w:rsidR="007034C6" w:rsidRPr="00807DAF">
        <w:rPr>
          <w:b/>
        </w:rPr>
        <w:t>prior written</w:t>
      </w:r>
      <w:r w:rsidR="007034C6" w:rsidRPr="00807DAF">
        <w:t xml:space="preserve"> </w:t>
      </w:r>
      <w:r w:rsidR="007034C6" w:rsidRPr="00807DAF">
        <w:rPr>
          <w:b/>
        </w:rPr>
        <w:t>authorisation</w:t>
      </w:r>
      <w:r w:rsidR="007034C6" w:rsidRPr="00807DAF">
        <w:t xml:space="preserve"> of the Contracting Authority.</w:t>
      </w:r>
    </w:p>
    <w:p w14:paraId="71F53A5E" w14:textId="77777777" w:rsidR="0007408E" w:rsidRPr="00807DAF" w:rsidRDefault="0007408E" w:rsidP="0068216F">
      <w:pPr>
        <w:rPr>
          <w:u w:val="single"/>
        </w:rPr>
      </w:pPr>
      <w:r w:rsidRPr="00807DAF">
        <w:rPr>
          <w:u w:val="single"/>
        </w:rPr>
        <w:t>Eligible indirect costs</w:t>
      </w:r>
    </w:p>
    <w:p w14:paraId="67CD213B" w14:textId="77777777" w:rsidR="00460729" w:rsidRPr="00807DAF" w:rsidRDefault="00460729" w:rsidP="0068216F">
      <w:pPr>
        <w:rPr>
          <w:lang w:eastAsia="en-GB" w:bidi="kn-IN"/>
        </w:rPr>
      </w:pPr>
      <w:r w:rsidRPr="00807DAF">
        <w:rPr>
          <w:lang w:eastAsia="en-GB" w:bidi="kn-IN"/>
        </w:rPr>
        <w:t>The indirect costs incurred in carrying out the action may be eligible for flat-rate funding</w:t>
      </w:r>
      <w:r w:rsidR="00466510" w:rsidRPr="00807DAF">
        <w:rPr>
          <w:lang w:eastAsia="en-GB" w:bidi="kn-IN"/>
        </w:rPr>
        <w:t>,</w:t>
      </w:r>
      <w:r w:rsidRPr="00807DAF">
        <w:rPr>
          <w:lang w:eastAsia="en-GB" w:bidi="kn-IN"/>
        </w:rPr>
        <w:t xml:space="preserve"> </w:t>
      </w:r>
      <w:r w:rsidR="00B1674B" w:rsidRPr="00807DAF">
        <w:rPr>
          <w:lang w:eastAsia="en-GB" w:bidi="kn-IN"/>
        </w:rPr>
        <w:t>but the total must not exceed</w:t>
      </w:r>
      <w:r w:rsidRPr="00807DAF">
        <w:rPr>
          <w:lang w:eastAsia="en-GB" w:bidi="kn-IN"/>
        </w:rPr>
        <w:t xml:space="preserve"> 7</w:t>
      </w:r>
      <w:r w:rsidR="00A016F9" w:rsidRPr="00807DAF">
        <w:rPr>
          <w:w w:val="50"/>
          <w:lang w:eastAsia="en-GB" w:bidi="kn-IN"/>
        </w:rPr>
        <w:t> </w:t>
      </w:r>
      <w:r w:rsidRPr="00807DAF">
        <w:rPr>
          <w:lang w:eastAsia="en-GB" w:bidi="kn-IN"/>
        </w:rPr>
        <w:t>%</w:t>
      </w:r>
      <w:r w:rsidR="00EB3DA4" w:rsidRPr="00807DAF">
        <w:rPr>
          <w:lang w:eastAsia="en-GB" w:bidi="kn-IN"/>
        </w:rPr>
        <w:t xml:space="preserve"> </w:t>
      </w:r>
      <w:r w:rsidRPr="00807DAF">
        <w:rPr>
          <w:lang w:eastAsia="en-GB" w:bidi="kn-IN"/>
        </w:rPr>
        <w:t xml:space="preserve">of the </w:t>
      </w:r>
      <w:r w:rsidR="00584247" w:rsidRPr="00807DAF">
        <w:rPr>
          <w:lang w:eastAsia="en-GB" w:bidi="kn-IN"/>
        </w:rPr>
        <w:t xml:space="preserve">estimated </w:t>
      </w:r>
      <w:r w:rsidRPr="00807DAF">
        <w:rPr>
          <w:lang w:eastAsia="en-GB" w:bidi="kn-IN"/>
        </w:rPr>
        <w:t>total eligible direct costs</w:t>
      </w:r>
      <w:r w:rsidRPr="00807DAF">
        <w:rPr>
          <w:sz w:val="20"/>
          <w:lang w:eastAsia="en-GB" w:bidi="kn-IN"/>
        </w:rPr>
        <w:t>.</w:t>
      </w:r>
      <w:r w:rsidR="00E2380E" w:rsidRPr="00807DAF">
        <w:rPr>
          <w:sz w:val="20"/>
          <w:lang w:eastAsia="en-GB" w:bidi="kn-IN"/>
        </w:rPr>
        <w:t xml:space="preserve"> </w:t>
      </w:r>
      <w:r w:rsidR="00E2380E" w:rsidRPr="00807DAF">
        <w:rPr>
          <w:lang w:eastAsia="en-GB" w:bidi="kn-IN"/>
        </w:rPr>
        <w:t>Indirect costs are eligible provided that they do not include costs assigned to another</w:t>
      </w:r>
      <w:r w:rsidR="00B1674B" w:rsidRPr="00807DAF">
        <w:rPr>
          <w:lang w:eastAsia="en-GB" w:bidi="kn-IN"/>
        </w:rPr>
        <w:t xml:space="preserve"> budget</w:t>
      </w:r>
      <w:r w:rsidR="00E2380E" w:rsidRPr="00807DAF">
        <w:rPr>
          <w:lang w:eastAsia="en-GB" w:bidi="kn-IN"/>
        </w:rPr>
        <w:t xml:space="preserve"> heading </w:t>
      </w:r>
      <w:r w:rsidR="00B1674B" w:rsidRPr="00807DAF">
        <w:rPr>
          <w:lang w:eastAsia="en-GB" w:bidi="kn-IN"/>
        </w:rPr>
        <w:t>in</w:t>
      </w:r>
      <w:r w:rsidR="00450369" w:rsidRPr="00807DAF">
        <w:rPr>
          <w:lang w:eastAsia="en-GB" w:bidi="kn-IN"/>
        </w:rPr>
        <w:t xml:space="preserve"> the standard grant c</w:t>
      </w:r>
      <w:r w:rsidR="00E2380E" w:rsidRPr="00807DAF">
        <w:rPr>
          <w:lang w:eastAsia="en-GB" w:bidi="kn-IN"/>
        </w:rPr>
        <w:t>ontract. The</w:t>
      </w:r>
      <w:r w:rsidR="00B86678">
        <w:rPr>
          <w:lang w:eastAsia="en-GB" w:bidi="kn-IN"/>
        </w:rPr>
        <w:t xml:space="preserve"> </w:t>
      </w:r>
      <w:r w:rsidR="003153CB">
        <w:rPr>
          <w:lang w:eastAsia="en-GB" w:bidi="kn-IN"/>
        </w:rPr>
        <w:t>lead a</w:t>
      </w:r>
      <w:r w:rsidR="00E2380E" w:rsidRPr="00807DAF">
        <w:rPr>
          <w:lang w:eastAsia="en-GB" w:bidi="kn-IN"/>
        </w:rPr>
        <w:t xml:space="preserve">pplicant may be asked to justify the percentage </w:t>
      </w:r>
      <w:r w:rsidR="00B1674B" w:rsidRPr="00807DAF">
        <w:rPr>
          <w:lang w:eastAsia="en-GB" w:bidi="kn-IN"/>
        </w:rPr>
        <w:t xml:space="preserve">requested </w:t>
      </w:r>
      <w:r w:rsidR="00E2380E" w:rsidRPr="00807DAF">
        <w:rPr>
          <w:lang w:eastAsia="en-GB" w:bidi="kn-IN"/>
        </w:rPr>
        <w:t xml:space="preserve">before </w:t>
      </w:r>
      <w:r w:rsidR="00B1674B" w:rsidRPr="00807DAF">
        <w:rPr>
          <w:lang w:eastAsia="en-GB" w:bidi="kn-IN"/>
        </w:rPr>
        <w:t xml:space="preserve">the </w:t>
      </w:r>
      <w:r w:rsidR="00396DE6">
        <w:rPr>
          <w:lang w:eastAsia="en-GB" w:bidi="kn-IN"/>
        </w:rPr>
        <w:t>g</w:t>
      </w:r>
      <w:r w:rsidR="00031015">
        <w:rPr>
          <w:lang w:eastAsia="en-GB" w:bidi="kn-IN"/>
        </w:rPr>
        <w:t xml:space="preserve">rant </w:t>
      </w:r>
      <w:r w:rsidR="00396DE6">
        <w:rPr>
          <w:lang w:eastAsia="en-GB" w:bidi="kn-IN"/>
        </w:rPr>
        <w:t>c</w:t>
      </w:r>
      <w:r w:rsidR="00E2380E" w:rsidRPr="00807DAF">
        <w:rPr>
          <w:lang w:eastAsia="en-GB" w:bidi="kn-IN"/>
        </w:rPr>
        <w:t>ontract</w:t>
      </w:r>
      <w:r w:rsidR="00B1674B" w:rsidRPr="00807DAF">
        <w:rPr>
          <w:lang w:eastAsia="en-GB" w:bidi="kn-IN"/>
        </w:rPr>
        <w:t xml:space="preserve"> is signed</w:t>
      </w:r>
      <w:r w:rsidR="00E2380E" w:rsidRPr="00807DAF">
        <w:rPr>
          <w:lang w:eastAsia="en-GB" w:bidi="kn-IN"/>
        </w:rPr>
        <w:t>. However, once the flat</w:t>
      </w:r>
      <w:r w:rsidR="00B1674B" w:rsidRPr="00807DAF">
        <w:rPr>
          <w:lang w:eastAsia="en-GB" w:bidi="kn-IN"/>
        </w:rPr>
        <w:t xml:space="preserve"> </w:t>
      </w:r>
      <w:r w:rsidR="00E2380E" w:rsidRPr="00807DAF">
        <w:rPr>
          <w:lang w:eastAsia="en-GB" w:bidi="kn-IN"/>
        </w:rPr>
        <w:t>rate has been fixed in the</w:t>
      </w:r>
      <w:r w:rsidR="00450369" w:rsidRPr="00807DAF">
        <w:rPr>
          <w:lang w:eastAsia="en-GB" w:bidi="kn-IN"/>
        </w:rPr>
        <w:t xml:space="preserve"> </w:t>
      </w:r>
      <w:r w:rsidR="00396DE6">
        <w:rPr>
          <w:lang w:eastAsia="en-GB" w:bidi="kn-IN"/>
        </w:rPr>
        <w:t>S</w:t>
      </w:r>
      <w:r w:rsidR="00450369" w:rsidRPr="00807DAF">
        <w:rPr>
          <w:lang w:eastAsia="en-GB" w:bidi="kn-IN"/>
        </w:rPr>
        <w:t xml:space="preserve">pecial </w:t>
      </w:r>
      <w:r w:rsidR="00396DE6">
        <w:rPr>
          <w:lang w:eastAsia="en-GB" w:bidi="kn-IN"/>
        </w:rPr>
        <w:t>C</w:t>
      </w:r>
      <w:r w:rsidR="00450369" w:rsidRPr="00807DAF">
        <w:rPr>
          <w:lang w:eastAsia="en-GB" w:bidi="kn-IN"/>
        </w:rPr>
        <w:t xml:space="preserve">onditions of the </w:t>
      </w:r>
      <w:r w:rsidR="00396DE6">
        <w:rPr>
          <w:lang w:eastAsia="en-GB" w:bidi="kn-IN"/>
        </w:rPr>
        <w:t>g</w:t>
      </w:r>
      <w:r w:rsidR="00450369" w:rsidRPr="00807DAF">
        <w:rPr>
          <w:lang w:eastAsia="en-GB" w:bidi="kn-IN"/>
        </w:rPr>
        <w:t>rant</w:t>
      </w:r>
      <w:r w:rsidR="00E2380E" w:rsidRPr="00807DAF">
        <w:rPr>
          <w:lang w:eastAsia="en-GB" w:bidi="kn-IN"/>
        </w:rPr>
        <w:t xml:space="preserve"> </w:t>
      </w:r>
      <w:r w:rsidR="00396DE6">
        <w:rPr>
          <w:lang w:eastAsia="en-GB" w:bidi="kn-IN"/>
        </w:rPr>
        <w:t>c</w:t>
      </w:r>
      <w:r w:rsidR="00E2380E" w:rsidRPr="00807DAF">
        <w:rPr>
          <w:lang w:eastAsia="en-GB" w:bidi="kn-IN"/>
        </w:rPr>
        <w:t>ontract, no supporting documents need to be provided.</w:t>
      </w:r>
    </w:p>
    <w:p w14:paraId="4380C2A7" w14:textId="77777777" w:rsidR="00460729" w:rsidRDefault="00460729" w:rsidP="0068216F">
      <w:pPr>
        <w:rPr>
          <w:lang w:eastAsia="en-GB" w:bidi="kn-IN"/>
        </w:rPr>
      </w:pPr>
      <w:r w:rsidRPr="00807DAF">
        <w:rPr>
          <w:lang w:eastAsia="en-GB" w:bidi="kn-IN"/>
        </w:rPr>
        <w:t xml:space="preserve">If </w:t>
      </w:r>
      <w:r w:rsidR="00A703F1" w:rsidRPr="00807DAF">
        <w:rPr>
          <w:lang w:eastAsia="en-GB" w:bidi="kn-IN"/>
        </w:rPr>
        <w:t>any of the</w:t>
      </w:r>
      <w:r w:rsidR="00705C17" w:rsidRPr="00807DAF">
        <w:rPr>
          <w:lang w:eastAsia="en-GB" w:bidi="kn-IN"/>
        </w:rPr>
        <w:t xml:space="preserve"> </w:t>
      </w:r>
      <w:r w:rsidRPr="00807DAF">
        <w:rPr>
          <w:lang w:eastAsia="en-GB" w:bidi="kn-IN"/>
        </w:rPr>
        <w:t>applicant</w:t>
      </w:r>
      <w:r w:rsidR="00A703F1" w:rsidRPr="00807DAF">
        <w:rPr>
          <w:lang w:eastAsia="en-GB" w:bidi="kn-IN"/>
        </w:rPr>
        <w:t>s</w:t>
      </w:r>
      <w:r w:rsidRPr="00807DAF">
        <w:rPr>
          <w:lang w:eastAsia="en-GB" w:bidi="kn-IN"/>
        </w:rPr>
        <w:t xml:space="preserve"> </w:t>
      </w:r>
      <w:r w:rsidR="00A703F1" w:rsidRPr="00807DAF">
        <w:rPr>
          <w:lang w:eastAsia="en-GB" w:bidi="kn-IN"/>
        </w:rPr>
        <w:t xml:space="preserve">or affiliated </w:t>
      </w:r>
      <w:proofErr w:type="gramStart"/>
      <w:r w:rsidR="00A703F1" w:rsidRPr="00807DAF">
        <w:rPr>
          <w:lang w:eastAsia="en-GB" w:bidi="kn-IN"/>
        </w:rPr>
        <w:t>entity(</w:t>
      </w:r>
      <w:proofErr w:type="spellStart"/>
      <w:proofErr w:type="gramEnd"/>
      <w:r w:rsidR="00A703F1" w:rsidRPr="00807DAF">
        <w:rPr>
          <w:lang w:eastAsia="en-GB" w:bidi="kn-IN"/>
        </w:rPr>
        <w:t>ies</w:t>
      </w:r>
      <w:proofErr w:type="spellEnd"/>
      <w:r w:rsidR="00A703F1" w:rsidRPr="00807DAF">
        <w:rPr>
          <w:lang w:eastAsia="en-GB" w:bidi="kn-IN"/>
        </w:rPr>
        <w:t xml:space="preserve">) </w:t>
      </w:r>
      <w:r w:rsidRPr="00807DAF">
        <w:rPr>
          <w:lang w:eastAsia="en-GB" w:bidi="kn-IN"/>
        </w:rPr>
        <w:t xml:space="preserve">is in receipt of an operating grant financed </w:t>
      </w:r>
      <w:r w:rsidR="00705C17" w:rsidRPr="00807DAF">
        <w:rPr>
          <w:lang w:eastAsia="en-GB" w:bidi="kn-IN"/>
        </w:rPr>
        <w:t xml:space="preserve">by </w:t>
      </w:r>
      <w:r w:rsidRPr="00807DAF">
        <w:rPr>
          <w:lang w:eastAsia="en-GB" w:bidi="kn-IN"/>
        </w:rPr>
        <w:t xml:space="preserve">the </w:t>
      </w:r>
      <w:r w:rsidR="00D65E10" w:rsidRPr="00807DAF">
        <w:rPr>
          <w:lang w:eastAsia="en-GB" w:bidi="kn-IN"/>
        </w:rPr>
        <w:t>EU</w:t>
      </w:r>
      <w:r w:rsidR="00601848" w:rsidRPr="00807DAF">
        <w:rPr>
          <w:lang w:eastAsia="en-GB" w:bidi="kn-IN"/>
        </w:rPr>
        <w:t xml:space="preserve">, </w:t>
      </w:r>
      <w:r w:rsidR="00705C17" w:rsidRPr="00807DAF">
        <w:rPr>
          <w:lang w:eastAsia="en-GB" w:bidi="kn-IN"/>
        </w:rPr>
        <w:t>it may not claim</w:t>
      </w:r>
      <w:r w:rsidRPr="00807DAF">
        <w:rPr>
          <w:lang w:eastAsia="en-GB" w:bidi="kn-IN"/>
        </w:rPr>
        <w:t xml:space="preserve"> indirect costs</w:t>
      </w:r>
      <w:r w:rsidR="00705C17" w:rsidRPr="00807DAF">
        <w:rPr>
          <w:lang w:eastAsia="en-GB" w:bidi="kn-IN"/>
        </w:rPr>
        <w:t xml:space="preserve"> on its incurred costs</w:t>
      </w:r>
      <w:r w:rsidR="00705C17" w:rsidRPr="00807DAF">
        <w:rPr>
          <w:color w:val="0000FF"/>
          <w:sz w:val="20"/>
          <w:lang w:eastAsia="en-GB" w:bidi="kn-IN"/>
        </w:rPr>
        <w:t xml:space="preserve"> </w:t>
      </w:r>
      <w:r w:rsidRPr="00807DAF">
        <w:rPr>
          <w:lang w:eastAsia="en-GB" w:bidi="kn-IN"/>
        </w:rPr>
        <w:t>within the proposed budget for the action.</w:t>
      </w:r>
    </w:p>
    <w:p w14:paraId="3DB861ED" w14:textId="77777777" w:rsidR="0007408E" w:rsidRPr="00807DAF" w:rsidRDefault="0007408E" w:rsidP="0068216F">
      <w:pPr>
        <w:rPr>
          <w:u w:val="single"/>
        </w:rPr>
      </w:pPr>
      <w:r w:rsidRPr="00807DAF">
        <w:rPr>
          <w:u w:val="single"/>
        </w:rPr>
        <w:t>Contributions in kind</w:t>
      </w:r>
    </w:p>
    <w:p w14:paraId="65919218" w14:textId="77777777" w:rsidR="008A62F6" w:rsidRPr="00807DAF" w:rsidRDefault="008A62F6" w:rsidP="0068216F">
      <w:r w:rsidRPr="00807DAF">
        <w:t xml:space="preserve">Contributions in kind mean the provision of goods or services to </w:t>
      </w:r>
      <w:r w:rsidR="00A703F1" w:rsidRPr="00807DAF">
        <w:t>a</w:t>
      </w:r>
      <w:r w:rsidRPr="00807DAF">
        <w:t xml:space="preserve"> </w:t>
      </w:r>
      <w:r w:rsidR="00743599">
        <w:t>b</w:t>
      </w:r>
      <w:r w:rsidRPr="00807DAF">
        <w:t>eneficiar</w:t>
      </w:r>
      <w:r w:rsidR="00101AEE" w:rsidRPr="00807DAF">
        <w:t>ies</w:t>
      </w:r>
      <w:r w:rsidR="00A703F1" w:rsidRPr="00807DAF">
        <w:t xml:space="preserve"> or </w:t>
      </w:r>
      <w:r w:rsidR="00A703F1" w:rsidRPr="00807DAF">
        <w:rPr>
          <w:lang w:eastAsia="en-GB" w:bidi="kn-IN"/>
        </w:rPr>
        <w:t xml:space="preserve">affiliated entities </w:t>
      </w:r>
      <w:r w:rsidRPr="00807DAF">
        <w:t xml:space="preserve">free of charge by a third party. As contributions in kind do not involve any expenditure for </w:t>
      </w:r>
      <w:r w:rsidR="00743599">
        <w:t>b</w:t>
      </w:r>
      <w:r w:rsidRPr="00807DAF">
        <w:t>eneficiar</w:t>
      </w:r>
      <w:r w:rsidR="00101AEE" w:rsidRPr="00807DAF">
        <w:t>ies</w:t>
      </w:r>
      <w:r w:rsidR="00A703F1" w:rsidRPr="00807DAF">
        <w:t xml:space="preserve"> </w:t>
      </w:r>
      <w:r w:rsidR="00A703F1" w:rsidRPr="00807DAF">
        <w:rPr>
          <w:lang w:eastAsia="en-GB" w:bidi="kn-IN"/>
        </w:rPr>
        <w:t>or affiliated entities</w:t>
      </w:r>
      <w:r w:rsidRPr="00807DAF">
        <w:t>, they are not eligible costs.</w:t>
      </w:r>
      <w:r w:rsidR="006507EF" w:rsidRPr="00807DAF">
        <w:t xml:space="preserve"> </w:t>
      </w:r>
    </w:p>
    <w:p w14:paraId="1C9E8A1F" w14:textId="7914CBA5" w:rsidR="00F52B38" w:rsidRPr="00455615" w:rsidRDefault="00BC7EE3" w:rsidP="0068216F">
      <w:r w:rsidRPr="00455615">
        <w:t>C</w:t>
      </w:r>
      <w:r w:rsidR="00F52B38" w:rsidRPr="00455615">
        <w:t>ontributions in kind may not be treated as co-financing</w:t>
      </w:r>
    </w:p>
    <w:p w14:paraId="09259437" w14:textId="0993B7DB" w:rsidR="00F52B38" w:rsidRPr="00807DAF" w:rsidRDefault="00BC7EE3" w:rsidP="0068216F">
      <w:r w:rsidRPr="00455615">
        <w:t>However</w:t>
      </w:r>
      <w:r w:rsidR="00F52B38" w:rsidRPr="00455615">
        <w:t xml:space="preserve">, if the description of the action as proposed </w:t>
      </w:r>
      <w:r w:rsidRPr="00455615">
        <w:t>includes</w:t>
      </w:r>
      <w:r w:rsidR="00F52B38" w:rsidRPr="00455615">
        <w:t xml:space="preserve"> contributions in kind, </w:t>
      </w:r>
      <w:r w:rsidRPr="00455615">
        <w:t xml:space="preserve">the </w:t>
      </w:r>
      <w:r w:rsidR="00F52B38" w:rsidRPr="00455615">
        <w:t>contributions have to be</w:t>
      </w:r>
      <w:r w:rsidR="005D2AC6" w:rsidRPr="00455615">
        <w:t xml:space="preserve"> </w:t>
      </w:r>
      <w:r w:rsidRPr="00455615">
        <w:t>made</w:t>
      </w:r>
      <w:r w:rsidR="00F52B38" w:rsidRPr="00455615">
        <w:t>.</w:t>
      </w:r>
    </w:p>
    <w:p w14:paraId="73B96A03" w14:textId="77777777" w:rsidR="00511112" w:rsidRPr="00807DAF" w:rsidRDefault="00511112" w:rsidP="0068216F">
      <w:pPr>
        <w:rPr>
          <w:u w:val="single"/>
        </w:rPr>
      </w:pPr>
      <w:r w:rsidRPr="00807DAF">
        <w:rPr>
          <w:u w:val="single"/>
        </w:rPr>
        <w:t>Ineligible costs</w:t>
      </w:r>
    </w:p>
    <w:p w14:paraId="2B24E6D5" w14:textId="77777777" w:rsidR="00511112" w:rsidRPr="00807DAF" w:rsidRDefault="00511112" w:rsidP="0068216F">
      <w:r w:rsidRPr="00807DAF">
        <w:t>The following costs are not eligible:</w:t>
      </w:r>
    </w:p>
    <w:p w14:paraId="41B848E1" w14:textId="77777777" w:rsidR="00AC1803" w:rsidRPr="00807DAF" w:rsidRDefault="00511112" w:rsidP="007A0900">
      <w:pPr>
        <w:numPr>
          <w:ilvl w:val="0"/>
          <w:numId w:val="22"/>
        </w:numPr>
      </w:pPr>
      <w:r w:rsidRPr="00807DAF">
        <w:t>debts and debt</w:t>
      </w:r>
      <w:r w:rsidR="00AC1803" w:rsidRPr="00807DAF">
        <w:t xml:space="preserve"> service charges</w:t>
      </w:r>
      <w:r w:rsidR="00516FC2" w:rsidRPr="00807DAF">
        <w:t xml:space="preserve"> (interest);</w:t>
      </w:r>
    </w:p>
    <w:p w14:paraId="55D0AEDD" w14:textId="77777777" w:rsidR="00511112" w:rsidRPr="00807DAF" w:rsidRDefault="00AC1803" w:rsidP="007A0900">
      <w:pPr>
        <w:numPr>
          <w:ilvl w:val="0"/>
          <w:numId w:val="22"/>
        </w:numPr>
      </w:pPr>
      <w:r w:rsidRPr="00807DAF">
        <w:t>provisions for losses or potential future liabilities</w:t>
      </w:r>
      <w:r w:rsidR="00511112" w:rsidRPr="00807DAF">
        <w:t>;</w:t>
      </w:r>
    </w:p>
    <w:p w14:paraId="41D126EE" w14:textId="77777777" w:rsidR="00511112" w:rsidRPr="00807DAF" w:rsidRDefault="00AC1803" w:rsidP="007A0900">
      <w:pPr>
        <w:numPr>
          <w:ilvl w:val="0"/>
          <w:numId w:val="22"/>
        </w:numPr>
      </w:pPr>
      <w:r w:rsidRPr="00807DAF">
        <w:t xml:space="preserve">costs declared by the </w:t>
      </w:r>
      <w:r w:rsidR="00743599">
        <w:t>b</w:t>
      </w:r>
      <w:r w:rsidR="00516FC2" w:rsidRPr="00807DAF">
        <w:t>eneficiary(</w:t>
      </w:r>
      <w:proofErr w:type="spellStart"/>
      <w:r w:rsidR="00516FC2" w:rsidRPr="00807DAF">
        <w:t>ies</w:t>
      </w:r>
      <w:proofErr w:type="spellEnd"/>
      <w:r w:rsidR="00516FC2" w:rsidRPr="00807DAF">
        <w:t xml:space="preserve">) and financed by another action or work programme receiving a </w:t>
      </w:r>
      <w:r w:rsidR="00396DE6">
        <w:t xml:space="preserve">European </w:t>
      </w:r>
      <w:r w:rsidR="00516FC2" w:rsidRPr="00807DAF">
        <w:t>Union (including through EDF) grant</w:t>
      </w:r>
      <w:r w:rsidR="00511112" w:rsidRPr="00807DAF">
        <w:t>;</w:t>
      </w:r>
    </w:p>
    <w:p w14:paraId="0FCF5FB7" w14:textId="77777777" w:rsidR="00511112" w:rsidRPr="00807DAF" w:rsidRDefault="00511112" w:rsidP="007A0900">
      <w:pPr>
        <w:numPr>
          <w:ilvl w:val="0"/>
          <w:numId w:val="22"/>
        </w:numPr>
      </w:pPr>
      <w:r w:rsidRPr="00807DAF">
        <w:t>purchases of land or buildings, except where necessary for the direct implementation of the action, in which case ownership must be transferred</w:t>
      </w:r>
      <w:r w:rsidR="00396DE6">
        <w:t xml:space="preserve">, in accordance with Article 7.5 of the General Conditions of the </w:t>
      </w:r>
      <w:r w:rsidR="00743599">
        <w:t>s</w:t>
      </w:r>
      <w:r w:rsidR="00396DE6">
        <w:t xml:space="preserve">tandard </w:t>
      </w:r>
      <w:r w:rsidR="00743599">
        <w:t>g</w:t>
      </w:r>
      <w:r w:rsidR="00396DE6">
        <w:t xml:space="preserve">rant </w:t>
      </w:r>
      <w:r w:rsidR="00743599">
        <w:t>c</w:t>
      </w:r>
      <w:r w:rsidR="00396DE6">
        <w:t xml:space="preserve">ontract, </w:t>
      </w:r>
      <w:r w:rsidR="002265E1" w:rsidRPr="00807DAF">
        <w:t xml:space="preserve">at the latest </w:t>
      </w:r>
      <w:r w:rsidR="00516FC2" w:rsidRPr="00807DAF">
        <w:t>at</w:t>
      </w:r>
      <w:r w:rsidRPr="00807DAF">
        <w:t xml:space="preserve"> the end of the action;</w:t>
      </w:r>
    </w:p>
    <w:p w14:paraId="2197AE7F" w14:textId="77777777" w:rsidR="00511112" w:rsidRPr="00807DAF" w:rsidRDefault="00511112" w:rsidP="007A0900">
      <w:pPr>
        <w:numPr>
          <w:ilvl w:val="0"/>
          <w:numId w:val="22"/>
        </w:numPr>
      </w:pPr>
      <w:r w:rsidRPr="00807DAF">
        <w:t>currency exchange losses;</w:t>
      </w:r>
    </w:p>
    <w:p w14:paraId="530E0EC2" w14:textId="5655C912" w:rsidR="00514B99" w:rsidRPr="00B4576A" w:rsidRDefault="00C9081A" w:rsidP="007A0900">
      <w:pPr>
        <w:numPr>
          <w:ilvl w:val="0"/>
          <w:numId w:val="22"/>
        </w:numPr>
      </w:pPr>
      <w:proofErr w:type="gramStart"/>
      <w:r w:rsidRPr="00B4576A">
        <w:t>credit</w:t>
      </w:r>
      <w:proofErr w:type="gramEnd"/>
      <w:r w:rsidRPr="00B4576A">
        <w:t xml:space="preserve"> to third parties.</w:t>
      </w:r>
    </w:p>
    <w:p w14:paraId="5EA66C37" w14:textId="340FA217" w:rsidR="00B4576A" w:rsidRPr="00B4576A" w:rsidRDefault="00AE481D" w:rsidP="00B4576A">
      <w:pPr>
        <w:numPr>
          <w:ilvl w:val="0"/>
          <w:numId w:val="22"/>
        </w:numPr>
      </w:pPr>
      <w:proofErr w:type="gramStart"/>
      <w:r w:rsidRPr="00B4576A">
        <w:t>s</w:t>
      </w:r>
      <w:r w:rsidR="00622E2A" w:rsidRPr="00B4576A">
        <w:t>alary</w:t>
      </w:r>
      <w:proofErr w:type="gramEnd"/>
      <w:r w:rsidR="00622E2A" w:rsidRPr="00B4576A">
        <w:t xml:space="preserve"> costs of the personnel of national administrations</w:t>
      </w:r>
      <w:r w:rsidR="00B4576A">
        <w:t xml:space="preserve"> </w:t>
      </w:r>
      <w:r w:rsidR="00B4576A" w:rsidRPr="00B4576A">
        <w:t xml:space="preserve">(except for applicants, co-applicants or affiliated entities with a status of National Human Rights Institution or Ombudsperson). </w:t>
      </w:r>
    </w:p>
    <w:p w14:paraId="3D4A119D" w14:textId="77777777" w:rsidR="00357CC0" w:rsidRPr="00807DAF" w:rsidRDefault="0009588C" w:rsidP="000C1BF8">
      <w:pPr>
        <w:pStyle w:val="Guidelines2"/>
      </w:pPr>
      <w:bookmarkStart w:id="14" w:name="_Toc487024643"/>
      <w:r w:rsidRPr="00807DAF">
        <w:t>H</w:t>
      </w:r>
      <w:r w:rsidR="00357CC0" w:rsidRPr="00807DAF">
        <w:t>ow to apply and the procedures to follow</w:t>
      </w:r>
      <w:bookmarkEnd w:id="14"/>
    </w:p>
    <w:p w14:paraId="5D927A8B" w14:textId="77777777" w:rsidR="00E00CAB" w:rsidRDefault="00E00CAB" w:rsidP="007C2FC5">
      <w:r>
        <w:lastRenderedPageBreak/>
        <w:t xml:space="preserve">To apply for this call for proposals the </w:t>
      </w:r>
      <w:r w:rsidR="009279E7">
        <w:t xml:space="preserve">lead </w:t>
      </w:r>
      <w:r w:rsidR="003153CB">
        <w:t>a</w:t>
      </w:r>
      <w:r>
        <w:t>pplicants need to:</w:t>
      </w:r>
    </w:p>
    <w:p w14:paraId="5773FD69" w14:textId="77777777" w:rsidR="00E00CAB" w:rsidRDefault="00E00CAB" w:rsidP="007A0900">
      <w:pPr>
        <w:numPr>
          <w:ilvl w:val="0"/>
          <w:numId w:val="29"/>
        </w:numPr>
        <w:ind w:left="284" w:hanging="142"/>
      </w:pPr>
      <w:r>
        <w:t>Provide information about the organisations involved in the action. Please note that the r</w:t>
      </w:r>
      <w:r w:rsidRPr="00807DAF">
        <w:t>egistration</w:t>
      </w:r>
      <w:r>
        <w:t xml:space="preserve"> of this data in </w:t>
      </w:r>
      <w:r w:rsidRPr="00743599">
        <w:rPr>
          <w:b/>
        </w:rPr>
        <w:t>PADOR is obligatory</w:t>
      </w:r>
      <w:r w:rsidR="00DB30A9">
        <w:rPr>
          <w:rStyle w:val="FootnoteReference"/>
          <w:b/>
        </w:rPr>
        <w:footnoteReference w:id="34"/>
      </w:r>
      <w:r w:rsidRPr="00807DAF">
        <w:t xml:space="preserve"> for this </w:t>
      </w:r>
      <w:r w:rsidR="00743599">
        <w:t>c</w:t>
      </w:r>
      <w:r w:rsidRPr="00807DAF">
        <w:t xml:space="preserve">all for </w:t>
      </w:r>
      <w:r w:rsidR="00743599">
        <w:t>p</w:t>
      </w:r>
      <w:r w:rsidRPr="00807DAF">
        <w:t>roposals</w:t>
      </w:r>
      <w:r>
        <w:t>:</w:t>
      </w:r>
    </w:p>
    <w:p w14:paraId="17CD99F6" w14:textId="6AAC8FC7" w:rsidR="00E00CAB" w:rsidRPr="00FE05D4" w:rsidRDefault="00E47EF8" w:rsidP="00743599">
      <w:pPr>
        <w:ind w:left="426"/>
      </w:pPr>
      <w:r>
        <w:rPr>
          <w:b/>
        </w:rPr>
        <w:t>C</w:t>
      </w:r>
      <w:r w:rsidR="00E00CAB" w:rsidRPr="00FE05D4">
        <w:rPr>
          <w:b/>
        </w:rPr>
        <w:t>oncept note</w:t>
      </w:r>
      <w:r>
        <w:rPr>
          <w:b/>
        </w:rPr>
        <w:t xml:space="preserve"> step</w:t>
      </w:r>
      <w:r w:rsidR="00E00CAB" w:rsidRPr="00FE05D4">
        <w:rPr>
          <w:b/>
        </w:rPr>
        <w:t xml:space="preserve">: </w:t>
      </w:r>
      <w:r w:rsidR="00E00CAB" w:rsidRPr="00FE05D4">
        <w:t xml:space="preserve">Registration </w:t>
      </w:r>
      <w:r w:rsidR="00DB30A9">
        <w:t xml:space="preserve">is </w:t>
      </w:r>
      <w:r w:rsidR="00E00CAB" w:rsidRPr="00FE05D4">
        <w:t xml:space="preserve">obligatory for </w:t>
      </w:r>
      <w:r w:rsidR="003153CB">
        <w:t>lead a</w:t>
      </w:r>
      <w:r w:rsidR="00E00CAB" w:rsidRPr="00FE05D4">
        <w:t>pplicant</w:t>
      </w:r>
      <w:r w:rsidR="00E00CAB">
        <w:t>s</w:t>
      </w:r>
      <w:r w:rsidR="00E00CAB" w:rsidRPr="00FE05D4">
        <w:t>.</w:t>
      </w:r>
    </w:p>
    <w:p w14:paraId="45982CA9" w14:textId="77777777" w:rsidR="00E00CAB" w:rsidRDefault="00E47EF8" w:rsidP="00E00CAB">
      <w:pPr>
        <w:ind w:left="426"/>
      </w:pPr>
      <w:r>
        <w:rPr>
          <w:b/>
        </w:rPr>
        <w:t>F</w:t>
      </w:r>
      <w:r w:rsidR="00E00CAB" w:rsidRPr="00FE05D4">
        <w:rPr>
          <w:b/>
        </w:rPr>
        <w:t xml:space="preserve">ull </w:t>
      </w:r>
      <w:r w:rsidR="00E00CAB">
        <w:rPr>
          <w:b/>
        </w:rPr>
        <w:t>application</w:t>
      </w:r>
      <w:r>
        <w:rPr>
          <w:b/>
        </w:rPr>
        <w:t xml:space="preserve"> step</w:t>
      </w:r>
      <w:r w:rsidR="00E00CAB" w:rsidRPr="00FE05D4">
        <w:rPr>
          <w:b/>
        </w:rPr>
        <w:t xml:space="preserve">: </w:t>
      </w:r>
      <w:r w:rsidR="00E00CAB" w:rsidRPr="00FE05D4">
        <w:t xml:space="preserve">Registration is obligatory for co-applicant(s) and affiliated </w:t>
      </w:r>
      <w:proofErr w:type="gramStart"/>
      <w:r w:rsidR="00E00CAB" w:rsidRPr="00FE05D4">
        <w:t>entity(</w:t>
      </w:r>
      <w:proofErr w:type="spellStart"/>
      <w:proofErr w:type="gramEnd"/>
      <w:r w:rsidR="00E00CAB" w:rsidRPr="00FE05D4">
        <w:t>ies</w:t>
      </w:r>
      <w:proofErr w:type="spellEnd"/>
      <w:r w:rsidR="00E00CAB" w:rsidRPr="00FE05D4">
        <w:t>)</w:t>
      </w:r>
      <w:r w:rsidR="00743599">
        <w:t>.</w:t>
      </w:r>
      <w:r w:rsidR="00931F25">
        <w:t xml:space="preserve"> Lead applicants must make sure that their PADOR profile is up to date. </w:t>
      </w:r>
    </w:p>
    <w:p w14:paraId="43E7392F" w14:textId="2F461A70" w:rsidR="00EA52B9" w:rsidRPr="00807DAF" w:rsidRDefault="00E00CAB" w:rsidP="00EA52B9">
      <w:pPr>
        <w:numPr>
          <w:ilvl w:val="0"/>
          <w:numId w:val="29"/>
        </w:numPr>
        <w:ind w:left="284" w:hanging="142"/>
      </w:pPr>
      <w:r>
        <w:t xml:space="preserve">Provide information about the action </w:t>
      </w:r>
      <w:r w:rsidR="00E47EF8">
        <w:t>in</w:t>
      </w:r>
      <w:r>
        <w:t xml:space="preserve"> the documents listed </w:t>
      </w:r>
      <w:r w:rsidR="00EA52B9">
        <w:t xml:space="preserve">below </w:t>
      </w:r>
      <w:r>
        <w:t>under sections 2.2.</w:t>
      </w:r>
      <w:r w:rsidR="00EA52B9">
        <w:t>1</w:t>
      </w:r>
      <w:r w:rsidR="00E47EF8">
        <w:t xml:space="preserve"> (</w:t>
      </w:r>
      <w:r w:rsidR="001606C0">
        <w:t>c</w:t>
      </w:r>
      <w:r w:rsidR="00E47EF8">
        <w:t xml:space="preserve">oncept </w:t>
      </w:r>
      <w:r w:rsidR="001606C0">
        <w:t>n</w:t>
      </w:r>
      <w:r>
        <w:t>ote)</w:t>
      </w:r>
      <w:r w:rsidR="00E47EF8">
        <w:t xml:space="preserve"> and 2.2.5 (</w:t>
      </w:r>
      <w:r w:rsidR="001606C0">
        <w:t>f</w:t>
      </w:r>
      <w:r w:rsidR="00E47EF8">
        <w:t>ull a</w:t>
      </w:r>
      <w:r>
        <w:t xml:space="preserve">pplication). Please note that online submission via </w:t>
      </w:r>
      <w:r w:rsidRPr="00743599">
        <w:rPr>
          <w:b/>
        </w:rPr>
        <w:t>PROSPECT is obligatory</w:t>
      </w:r>
      <w:r>
        <w:t xml:space="preserve"> </w:t>
      </w:r>
      <w:r w:rsidR="00E47EF8">
        <w:t>for this c</w:t>
      </w:r>
      <w:r>
        <w:t>a</w:t>
      </w:r>
      <w:r w:rsidR="00E47EF8">
        <w:t>ll</w:t>
      </w:r>
      <w:r w:rsidR="00EA52B9">
        <w:t>.</w:t>
      </w:r>
    </w:p>
    <w:p w14:paraId="756A5F84" w14:textId="77777777" w:rsidR="007C2FC5" w:rsidRDefault="00DC28DD" w:rsidP="008F6323">
      <w:r w:rsidRPr="00807DAF">
        <w:rPr>
          <w:color w:val="000000"/>
        </w:rPr>
        <w:t>PADOR is an on-line database in which organis</w:t>
      </w:r>
      <w:r>
        <w:rPr>
          <w:color w:val="000000"/>
        </w:rPr>
        <w:t>ations register and update</w:t>
      </w:r>
      <w:r w:rsidRPr="00807DAF">
        <w:rPr>
          <w:color w:val="000000"/>
        </w:rPr>
        <w:t xml:space="preserve"> </w:t>
      </w:r>
      <w:r>
        <w:rPr>
          <w:color w:val="000000"/>
        </w:rPr>
        <w:t xml:space="preserve">information concerning their entity. Organisations registered in PADOR get a unique </w:t>
      </w:r>
      <w:r w:rsidR="00EF5786">
        <w:rPr>
          <w:color w:val="000000"/>
        </w:rPr>
        <w:t>ID (</w:t>
      </w:r>
      <w:proofErr w:type="spellStart"/>
      <w:r w:rsidR="00EF5786">
        <w:rPr>
          <w:color w:val="000000"/>
        </w:rPr>
        <w:t>E</w:t>
      </w:r>
      <w:r w:rsidR="00E00CAB">
        <w:rPr>
          <w:color w:val="000000"/>
        </w:rPr>
        <w:t>uropeAid</w:t>
      </w:r>
      <w:proofErr w:type="spellEnd"/>
      <w:r w:rsidR="00E00CAB">
        <w:rPr>
          <w:color w:val="000000"/>
        </w:rPr>
        <w:t xml:space="preserve"> </w:t>
      </w:r>
      <w:r>
        <w:rPr>
          <w:color w:val="000000"/>
        </w:rPr>
        <w:t xml:space="preserve">ID) which they </w:t>
      </w:r>
      <w:r w:rsidRPr="001606C0">
        <w:rPr>
          <w:b/>
          <w:color w:val="000000"/>
        </w:rPr>
        <w:t xml:space="preserve">must </w:t>
      </w:r>
      <w:r w:rsidR="00E00CAB" w:rsidRPr="001606C0">
        <w:rPr>
          <w:b/>
          <w:color w:val="000000"/>
        </w:rPr>
        <w:t>mention</w:t>
      </w:r>
      <w:r w:rsidR="00E00CAB">
        <w:rPr>
          <w:color w:val="000000"/>
        </w:rPr>
        <w:t xml:space="preserve"> in their</w:t>
      </w:r>
      <w:r w:rsidR="00EF5786">
        <w:rPr>
          <w:color w:val="000000"/>
        </w:rPr>
        <w:t xml:space="preserve"> application.</w:t>
      </w:r>
      <w:r w:rsidR="00E00CAB">
        <w:rPr>
          <w:color w:val="000000"/>
        </w:rPr>
        <w:t xml:space="preserve"> </w:t>
      </w:r>
      <w:r>
        <w:rPr>
          <w:color w:val="000000"/>
        </w:rPr>
        <w:t>PADOR is accessible</w:t>
      </w:r>
      <w:r w:rsidRPr="00807DAF">
        <w:rPr>
          <w:color w:val="000000"/>
        </w:rPr>
        <w:t xml:space="preserve"> </w:t>
      </w:r>
      <w:r>
        <w:rPr>
          <w:color w:val="000000"/>
        </w:rPr>
        <w:t>via</w:t>
      </w:r>
      <w:r w:rsidRPr="00807DAF">
        <w:rPr>
          <w:color w:val="000000"/>
        </w:rPr>
        <w:t xml:space="preserve"> the website:</w:t>
      </w:r>
      <w:r w:rsidR="008F6323">
        <w:rPr>
          <w:color w:val="000000"/>
        </w:rPr>
        <w:t xml:space="preserve"> </w:t>
      </w:r>
      <w:hyperlink r:id="rId22" w:history="1">
        <w:r w:rsidR="008F6323" w:rsidRPr="008F6323">
          <w:rPr>
            <w:rStyle w:val="Hyperlink"/>
            <w:snapToGrid w:val="0"/>
          </w:rPr>
          <w:t>http://ec.europa.eu/europeaid/pador_en</w:t>
        </w:r>
      </w:hyperlink>
      <w:r w:rsidRPr="00807DAF">
        <w:rPr>
          <w:color w:val="000000"/>
        </w:rPr>
        <w:t xml:space="preserve"> </w:t>
      </w:r>
    </w:p>
    <w:p w14:paraId="0CDF3B46" w14:textId="17E4EB63" w:rsidR="00EF5786" w:rsidRPr="00807DAF" w:rsidRDefault="00EF5786" w:rsidP="0068216F">
      <w:r w:rsidRPr="00A73F08">
        <w:rPr>
          <w:b/>
        </w:rPr>
        <w:t xml:space="preserve">It is strongly recommended to register in PADOR </w:t>
      </w:r>
      <w:r w:rsidR="00021697">
        <w:rPr>
          <w:b/>
        </w:rPr>
        <w:t xml:space="preserve">well in advance </w:t>
      </w:r>
      <w:r w:rsidRPr="00A73F08">
        <w:rPr>
          <w:b/>
        </w:rPr>
        <w:t xml:space="preserve">and not to wait </w:t>
      </w:r>
      <w:r w:rsidR="00E47A93" w:rsidRPr="00A73F08">
        <w:rPr>
          <w:b/>
        </w:rPr>
        <w:t xml:space="preserve">until </w:t>
      </w:r>
      <w:r w:rsidR="00E47A93">
        <w:rPr>
          <w:b/>
        </w:rPr>
        <w:t xml:space="preserve">the last minute </w:t>
      </w:r>
      <w:r w:rsidR="00E47A93" w:rsidRPr="00A73F08">
        <w:rPr>
          <w:b/>
        </w:rPr>
        <w:t xml:space="preserve">before the </w:t>
      </w:r>
      <w:r w:rsidR="00E47A93">
        <w:rPr>
          <w:b/>
        </w:rPr>
        <w:t>deadline</w:t>
      </w:r>
      <w:r w:rsidR="00E47A93">
        <w:t xml:space="preserve"> </w:t>
      </w:r>
      <w:r w:rsidR="00516563">
        <w:rPr>
          <w:b/>
        </w:rPr>
        <w:t xml:space="preserve">to submit your </w:t>
      </w:r>
      <w:r w:rsidR="00E47A93">
        <w:rPr>
          <w:b/>
        </w:rPr>
        <w:t xml:space="preserve">application </w:t>
      </w:r>
      <w:r w:rsidR="00516563">
        <w:rPr>
          <w:b/>
        </w:rPr>
        <w:t>in PROSPECT</w:t>
      </w:r>
      <w:r w:rsidR="00FA57A7">
        <w:rPr>
          <w:b/>
        </w:rPr>
        <w:t>.</w:t>
      </w:r>
      <w:r w:rsidR="00516563">
        <w:rPr>
          <w:b/>
        </w:rPr>
        <w:t xml:space="preserve"> </w:t>
      </w:r>
    </w:p>
    <w:p w14:paraId="6AF1AAB1" w14:textId="0F06718C" w:rsidR="00AA3DA6" w:rsidRDefault="00F373CA" w:rsidP="0087316C">
      <w:pPr>
        <w:rPr>
          <w:color w:val="000000"/>
          <w:lang w:eastAsia="en-GB"/>
        </w:rPr>
      </w:pPr>
      <w:r>
        <w:rPr>
          <w:color w:val="000000"/>
        </w:rPr>
        <w:t>I</w:t>
      </w:r>
      <w:r w:rsidR="00543FC0" w:rsidRPr="00807DAF">
        <w:rPr>
          <w:color w:val="000000"/>
        </w:rPr>
        <w:t>f it is impossible</w:t>
      </w:r>
      <w:r w:rsidR="00C722DA" w:rsidRPr="00807DAF">
        <w:rPr>
          <w:color w:val="000000"/>
        </w:rPr>
        <w:t xml:space="preserve"> </w:t>
      </w:r>
      <w:r w:rsidR="00543FC0" w:rsidRPr="00807DAF">
        <w:rPr>
          <w:color w:val="000000"/>
        </w:rPr>
        <w:t xml:space="preserve">to register </w:t>
      </w:r>
      <w:r w:rsidR="00EF5786">
        <w:rPr>
          <w:color w:val="000000"/>
        </w:rPr>
        <w:t xml:space="preserve">online </w:t>
      </w:r>
      <w:r w:rsidR="00543FC0" w:rsidRPr="00807DAF">
        <w:rPr>
          <w:color w:val="000000"/>
        </w:rPr>
        <w:t>in PADOR</w:t>
      </w:r>
      <w:r w:rsidR="00020F51">
        <w:rPr>
          <w:color w:val="000000"/>
        </w:rPr>
        <w:t xml:space="preserve"> for technical reasons</w:t>
      </w:r>
      <w:r w:rsidR="00543FC0" w:rsidRPr="00807DAF">
        <w:rPr>
          <w:color w:val="000000"/>
        </w:rPr>
        <w:t xml:space="preserve">, </w:t>
      </w:r>
      <w:r w:rsidR="00543FC0" w:rsidRPr="00807DAF">
        <w:rPr>
          <w:color w:val="000000"/>
          <w:lang w:eastAsia="en-GB"/>
        </w:rPr>
        <w:t>the applicant</w:t>
      </w:r>
      <w:r w:rsidR="000C1624" w:rsidRPr="00807DAF">
        <w:rPr>
          <w:color w:val="000000"/>
          <w:lang w:eastAsia="en-GB"/>
        </w:rPr>
        <w:t>s</w:t>
      </w:r>
      <w:r w:rsidR="00543FC0" w:rsidRPr="00807DAF">
        <w:rPr>
          <w:color w:val="000000"/>
          <w:lang w:eastAsia="en-GB"/>
        </w:rPr>
        <w:t xml:space="preserve"> and/or </w:t>
      </w:r>
      <w:r w:rsidR="000C1624" w:rsidRPr="00807DAF">
        <w:rPr>
          <w:color w:val="000000"/>
          <w:lang w:eastAsia="en-GB"/>
        </w:rPr>
        <w:t xml:space="preserve">affiliated </w:t>
      </w:r>
      <w:proofErr w:type="gramStart"/>
      <w:r w:rsidR="000C1624" w:rsidRPr="00807DAF">
        <w:rPr>
          <w:color w:val="000000"/>
        </w:rPr>
        <w:t>entity(</w:t>
      </w:r>
      <w:proofErr w:type="spellStart"/>
      <w:proofErr w:type="gramEnd"/>
      <w:r w:rsidR="000C1624" w:rsidRPr="00807DAF">
        <w:rPr>
          <w:color w:val="000000"/>
        </w:rPr>
        <w:t>ies</w:t>
      </w:r>
      <w:proofErr w:type="spellEnd"/>
      <w:r w:rsidR="000C1624" w:rsidRPr="00807DAF">
        <w:rPr>
          <w:color w:val="000000"/>
        </w:rPr>
        <w:t>)</w:t>
      </w:r>
      <w:r w:rsidR="00D751A1" w:rsidRPr="00807DAF">
        <w:rPr>
          <w:color w:val="000000"/>
        </w:rPr>
        <w:t xml:space="preserve"> </w:t>
      </w:r>
      <w:r w:rsidR="00C722DA" w:rsidRPr="00807DAF">
        <w:rPr>
          <w:color w:val="000000"/>
        </w:rPr>
        <w:t xml:space="preserve">must </w:t>
      </w:r>
      <w:r w:rsidR="00543FC0" w:rsidRPr="00807DAF">
        <w:rPr>
          <w:color w:val="000000"/>
        </w:rPr>
        <w:t>complete</w:t>
      </w:r>
      <w:r w:rsidR="00543FC0" w:rsidRPr="00807DAF">
        <w:rPr>
          <w:color w:val="000000"/>
          <w:lang w:eastAsia="en-GB"/>
        </w:rPr>
        <w:t xml:space="preserve"> the </w:t>
      </w:r>
      <w:r w:rsidR="00A016F9" w:rsidRPr="00807DAF">
        <w:rPr>
          <w:color w:val="000000"/>
          <w:lang w:eastAsia="en-GB"/>
        </w:rPr>
        <w:t>‘</w:t>
      </w:r>
      <w:r w:rsidR="00543FC0" w:rsidRPr="00807DAF">
        <w:rPr>
          <w:color w:val="000000"/>
          <w:lang w:eastAsia="en-GB"/>
        </w:rPr>
        <w:t>PADOR off-line form</w:t>
      </w:r>
      <w:r w:rsidR="00543FC0" w:rsidRPr="00807DAF">
        <w:rPr>
          <w:rStyle w:val="FootnoteReference"/>
        </w:rPr>
        <w:footnoteReference w:id="35"/>
      </w:r>
      <w:r w:rsidR="00543FC0" w:rsidRPr="00807DAF">
        <w:rPr>
          <w:color w:val="000000"/>
          <w:lang w:eastAsia="en-GB"/>
        </w:rPr>
        <w:t xml:space="preserve"> </w:t>
      </w:r>
      <w:r w:rsidR="00C722DA" w:rsidRPr="00807DAF">
        <w:rPr>
          <w:color w:val="000000"/>
          <w:lang w:eastAsia="en-GB"/>
        </w:rPr>
        <w:t>attached to</w:t>
      </w:r>
      <w:r w:rsidR="00543FC0" w:rsidRPr="00807DAF">
        <w:rPr>
          <w:color w:val="000000"/>
          <w:lang w:eastAsia="en-GB"/>
        </w:rPr>
        <w:t xml:space="preserve"> these </w:t>
      </w:r>
      <w:r w:rsidR="00B22540">
        <w:rPr>
          <w:color w:val="000000"/>
          <w:lang w:eastAsia="en-GB"/>
        </w:rPr>
        <w:t>g</w:t>
      </w:r>
      <w:r w:rsidR="00543FC0" w:rsidRPr="00807DAF">
        <w:rPr>
          <w:color w:val="000000"/>
          <w:lang w:eastAsia="en-GB"/>
        </w:rPr>
        <w:t>uidelines</w:t>
      </w:r>
      <w:r w:rsidR="00D01861">
        <w:rPr>
          <w:color w:val="000000"/>
          <w:lang w:eastAsia="en-GB"/>
        </w:rPr>
        <w:t>. This form</w:t>
      </w:r>
      <w:r w:rsidR="00543FC0" w:rsidRPr="00807DAF">
        <w:rPr>
          <w:color w:val="000000"/>
          <w:lang w:eastAsia="en-GB"/>
        </w:rPr>
        <w:t xml:space="preserve"> </w:t>
      </w:r>
      <w:r w:rsidR="00225AEA">
        <w:rPr>
          <w:color w:val="000000"/>
          <w:lang w:eastAsia="en-GB"/>
        </w:rPr>
        <w:t>must be</w:t>
      </w:r>
      <w:r w:rsidR="002278FF">
        <w:rPr>
          <w:color w:val="000000"/>
          <w:lang w:eastAsia="en-GB"/>
        </w:rPr>
        <w:t xml:space="preserve"> </w:t>
      </w:r>
      <w:r w:rsidR="00543FC0" w:rsidRPr="00807DAF">
        <w:rPr>
          <w:color w:val="000000"/>
          <w:lang w:eastAsia="en-GB"/>
        </w:rPr>
        <w:t>sen</w:t>
      </w:r>
      <w:r w:rsidR="00D01861">
        <w:rPr>
          <w:color w:val="000000"/>
          <w:lang w:eastAsia="en-GB"/>
        </w:rPr>
        <w:t>t</w:t>
      </w:r>
      <w:r w:rsidR="00543FC0" w:rsidRPr="00807DAF">
        <w:rPr>
          <w:color w:val="000000"/>
          <w:lang w:eastAsia="en-GB"/>
        </w:rPr>
        <w:t xml:space="preserve"> </w:t>
      </w:r>
      <w:r w:rsidR="00C722DA" w:rsidRPr="007904B1">
        <w:rPr>
          <w:b/>
          <w:color w:val="000000"/>
          <w:u w:val="single"/>
          <w:lang w:eastAsia="en-GB"/>
        </w:rPr>
        <w:t>together</w:t>
      </w:r>
      <w:r w:rsidR="00543FC0" w:rsidRPr="007904B1">
        <w:rPr>
          <w:b/>
          <w:color w:val="000000"/>
          <w:u w:val="single"/>
          <w:lang w:eastAsia="en-GB"/>
        </w:rPr>
        <w:t xml:space="preserve"> with the application</w:t>
      </w:r>
      <w:r w:rsidR="00D01861">
        <w:rPr>
          <w:b/>
          <w:color w:val="000000"/>
          <w:u w:val="single"/>
          <w:lang w:eastAsia="en-GB"/>
        </w:rPr>
        <w:t xml:space="preserve">, </w:t>
      </w:r>
      <w:r w:rsidR="00D01861" w:rsidRPr="00807DAF">
        <w:rPr>
          <w:color w:val="000000"/>
          <w:lang w:eastAsia="en-GB"/>
        </w:rPr>
        <w:t>by the submission deadline</w:t>
      </w:r>
      <w:r w:rsidR="00E47A93">
        <w:rPr>
          <w:color w:val="000000"/>
          <w:lang w:eastAsia="en-GB"/>
        </w:rPr>
        <w:t xml:space="preserve"> (see sections 2.2.</w:t>
      </w:r>
      <w:r w:rsidR="002278FF">
        <w:rPr>
          <w:color w:val="000000"/>
          <w:lang w:eastAsia="en-GB"/>
        </w:rPr>
        <w:t>3</w:t>
      </w:r>
      <w:r w:rsidR="00E47A93">
        <w:rPr>
          <w:color w:val="000000"/>
          <w:lang w:eastAsia="en-GB"/>
        </w:rPr>
        <w:t xml:space="preserve"> and 2.2.</w:t>
      </w:r>
      <w:r w:rsidR="002278FF">
        <w:rPr>
          <w:color w:val="000000"/>
          <w:lang w:eastAsia="en-GB"/>
        </w:rPr>
        <w:t>7</w:t>
      </w:r>
      <w:r w:rsidR="00E47A93">
        <w:rPr>
          <w:color w:val="000000"/>
          <w:lang w:eastAsia="en-GB"/>
        </w:rPr>
        <w:t>)</w:t>
      </w:r>
      <w:r w:rsidR="007547B9">
        <w:rPr>
          <w:color w:val="000000"/>
          <w:lang w:eastAsia="en-GB"/>
        </w:rPr>
        <w:t xml:space="preserve">. </w:t>
      </w:r>
    </w:p>
    <w:p w14:paraId="542E4654" w14:textId="7E846AF5" w:rsidR="0087316C" w:rsidRDefault="00AA3DA6" w:rsidP="0087316C">
      <w:pPr>
        <w:rPr>
          <w:highlight w:val="lightGray"/>
        </w:rPr>
      </w:pPr>
      <w:r w:rsidRPr="00807DAF">
        <w:t xml:space="preserve">Before starting </w:t>
      </w:r>
      <w:r>
        <w:t>using</w:t>
      </w:r>
      <w:r w:rsidRPr="00807DAF">
        <w:t xml:space="preserve"> PADOR</w:t>
      </w:r>
      <w:r>
        <w:t xml:space="preserve"> and PROSPECT</w:t>
      </w:r>
      <w:r w:rsidRPr="00807DAF">
        <w:t xml:space="preserve">, please read the </w:t>
      </w:r>
      <w:r>
        <w:t>user guides available</w:t>
      </w:r>
      <w:r w:rsidRPr="00807DAF">
        <w:t xml:space="preserve"> on the website. </w:t>
      </w:r>
      <w:bookmarkStart w:id="15" w:name="_Toc125454352"/>
      <w:r w:rsidR="0087316C">
        <w:rPr>
          <w:lang w:eastAsia="en-GB"/>
        </w:rPr>
        <w:t xml:space="preserve">All </w:t>
      </w:r>
      <w:r w:rsidR="00235FC2">
        <w:rPr>
          <w:lang w:eastAsia="en-GB"/>
        </w:rPr>
        <w:t xml:space="preserve">technical </w:t>
      </w:r>
      <w:r w:rsidR="0087316C">
        <w:rPr>
          <w:lang w:eastAsia="en-GB"/>
        </w:rPr>
        <w:t xml:space="preserve">questions related </w:t>
      </w:r>
      <w:r w:rsidR="00235FC2">
        <w:rPr>
          <w:lang w:eastAsia="en-GB"/>
        </w:rPr>
        <w:t>the use of these systems</w:t>
      </w:r>
      <w:r w:rsidR="0087316C">
        <w:rPr>
          <w:lang w:eastAsia="en-GB"/>
        </w:rPr>
        <w:t xml:space="preserve"> should be addressed to the IT helpdesk at </w:t>
      </w:r>
      <w:hyperlink r:id="rId23" w:history="1">
        <w:r w:rsidR="0087316C" w:rsidRPr="0087316C">
          <w:rPr>
            <w:rStyle w:val="Hyperlink"/>
            <w:snapToGrid w:val="0"/>
          </w:rPr>
          <w:t>EuropeAid-IT-support@ec.europa.eu</w:t>
        </w:r>
      </w:hyperlink>
      <w:r w:rsidR="00924D19">
        <w:t xml:space="preserve"> </w:t>
      </w:r>
      <w:r w:rsidR="00924D19">
        <w:rPr>
          <w:b/>
        </w:rPr>
        <w:t>via the online support form in PROSPECT</w:t>
      </w:r>
      <w:r w:rsidR="000F1735">
        <w:rPr>
          <w:b/>
        </w:rPr>
        <w:t>.</w:t>
      </w:r>
    </w:p>
    <w:p w14:paraId="0E4CF24A" w14:textId="77777777" w:rsidR="008B4806" w:rsidRPr="00DA436A" w:rsidRDefault="0087316C" w:rsidP="007A0900">
      <w:pPr>
        <w:pStyle w:val="Guidelines3"/>
        <w:numPr>
          <w:ilvl w:val="2"/>
          <w:numId w:val="15"/>
        </w:numPr>
      </w:pPr>
      <w:r w:rsidRPr="00DA436A">
        <w:t xml:space="preserve"> </w:t>
      </w:r>
      <w:bookmarkStart w:id="16" w:name="_Toc487024644"/>
      <w:r w:rsidR="008B4806" w:rsidRPr="00DA436A">
        <w:t xml:space="preserve">Concept </w:t>
      </w:r>
      <w:r w:rsidR="001606C0">
        <w:t>n</w:t>
      </w:r>
      <w:r w:rsidR="008B4806" w:rsidRPr="00DA436A">
        <w:t xml:space="preserve">ote </w:t>
      </w:r>
      <w:bookmarkEnd w:id="15"/>
      <w:r w:rsidR="00DB0B48" w:rsidRPr="00DA436A">
        <w:t>conten</w:t>
      </w:r>
      <w:r w:rsidR="005D7AF3" w:rsidRPr="00DA436A">
        <w:t>t</w:t>
      </w:r>
      <w:bookmarkEnd w:id="16"/>
      <w:r w:rsidR="005D7AF3" w:rsidRPr="00DA436A">
        <w:t xml:space="preserve"> </w:t>
      </w:r>
      <w:r w:rsidR="008B4806" w:rsidRPr="00DA436A">
        <w:t xml:space="preserve"> </w:t>
      </w:r>
    </w:p>
    <w:p w14:paraId="38F7B855" w14:textId="39082C05" w:rsidR="00DB0B48" w:rsidRPr="005D0288" w:rsidRDefault="00DB0B48" w:rsidP="001606C0">
      <w:pPr>
        <w:rPr>
          <w:color w:val="000000"/>
        </w:rPr>
      </w:pPr>
      <w:r w:rsidRPr="00FE05D4">
        <w:t xml:space="preserve">Applications must be submitted </w:t>
      </w:r>
      <w:r w:rsidR="00E94F83" w:rsidRPr="00FE05D4">
        <w:t xml:space="preserve">in accordance </w:t>
      </w:r>
      <w:r w:rsidRPr="00FE05D4">
        <w:t xml:space="preserve">with the </w:t>
      </w:r>
      <w:r w:rsidR="001606C0">
        <w:t>c</w:t>
      </w:r>
      <w:r w:rsidRPr="00FE05D4">
        <w:t xml:space="preserve">oncept </w:t>
      </w:r>
      <w:r w:rsidR="001606C0">
        <w:t>n</w:t>
      </w:r>
      <w:r w:rsidRPr="00FE05D4">
        <w:t>ote</w:t>
      </w:r>
      <w:r w:rsidR="00F47D23" w:rsidRPr="00FE05D4">
        <w:t xml:space="preserve"> instructions</w:t>
      </w:r>
      <w:r w:rsidRPr="00FE05D4">
        <w:t xml:space="preserve"> in the </w:t>
      </w:r>
      <w:r w:rsidR="001606C0">
        <w:t>g</w:t>
      </w:r>
      <w:r w:rsidRPr="00FE05D4">
        <w:t xml:space="preserve">rant </w:t>
      </w:r>
      <w:r w:rsidR="001606C0">
        <w:t>a</w:t>
      </w:r>
      <w:r w:rsidRPr="00FE05D4">
        <w:t xml:space="preserve">pplication </w:t>
      </w:r>
      <w:r w:rsidR="001606C0">
        <w:t>f</w:t>
      </w:r>
      <w:r w:rsidRPr="00FE05D4">
        <w:t>orm</w:t>
      </w:r>
      <w:r w:rsidR="001606C0">
        <w:rPr>
          <w:rStyle w:val="FootnoteReference"/>
        </w:rPr>
        <w:footnoteReference w:id="36"/>
      </w:r>
      <w:r w:rsidRPr="00FE05D4">
        <w:t xml:space="preserve"> annexed to these </w:t>
      </w:r>
      <w:r w:rsidR="00B22540">
        <w:t>g</w:t>
      </w:r>
      <w:r w:rsidRPr="00FE05D4">
        <w:t>uidelines (Annex A</w:t>
      </w:r>
      <w:r w:rsidR="0088687D">
        <w:t>.1</w:t>
      </w:r>
      <w:r w:rsidRPr="00FE05D4">
        <w:t xml:space="preserve">). </w:t>
      </w:r>
      <w:r w:rsidR="001A61A0">
        <w:t xml:space="preserve"> </w:t>
      </w:r>
      <w:r w:rsidR="001606C0">
        <w:t>A</w:t>
      </w:r>
      <w:r w:rsidRPr="00FE05D4">
        <w:rPr>
          <w:color w:val="000000"/>
        </w:rPr>
        <w:t xml:space="preserve">pplicants must apply </w:t>
      </w:r>
      <w:r w:rsidR="005D0288" w:rsidRPr="005D0288">
        <w:rPr>
          <w:color w:val="000000"/>
        </w:rPr>
        <w:t xml:space="preserve">in </w:t>
      </w:r>
      <w:r w:rsidR="005D0288" w:rsidRPr="00342AFB">
        <w:rPr>
          <w:b/>
          <w:color w:val="000000"/>
        </w:rPr>
        <w:t>English, French</w:t>
      </w:r>
      <w:r w:rsidR="005D0288" w:rsidRPr="005D0288">
        <w:rPr>
          <w:color w:val="000000"/>
        </w:rPr>
        <w:t xml:space="preserve"> or </w:t>
      </w:r>
      <w:r w:rsidR="005D0288" w:rsidRPr="00342AFB">
        <w:rPr>
          <w:b/>
          <w:color w:val="000000"/>
        </w:rPr>
        <w:t>Spanish</w:t>
      </w:r>
      <w:r w:rsidR="0002503B" w:rsidRPr="005D0288">
        <w:rPr>
          <w:color w:val="000000"/>
        </w:rPr>
        <w:t>.</w:t>
      </w:r>
      <w:r w:rsidR="00235FC2">
        <w:rPr>
          <w:color w:val="000000"/>
        </w:rPr>
        <w:t xml:space="preserve"> </w:t>
      </w:r>
    </w:p>
    <w:p w14:paraId="1267583E" w14:textId="77777777" w:rsidR="002831B8" w:rsidRDefault="002831B8" w:rsidP="002831B8">
      <w:pPr>
        <w:rPr>
          <w:szCs w:val="22"/>
          <w:lang w:eastAsia="en-GB"/>
        </w:rPr>
      </w:pPr>
      <w:r w:rsidRPr="00FE05D4">
        <w:rPr>
          <w:szCs w:val="22"/>
          <w:lang w:eastAsia="en-GB"/>
        </w:rPr>
        <w:t>Please note that</w:t>
      </w:r>
      <w:r>
        <w:rPr>
          <w:szCs w:val="22"/>
          <w:lang w:eastAsia="en-GB"/>
        </w:rPr>
        <w:t>:</w:t>
      </w:r>
    </w:p>
    <w:p w14:paraId="21B10151" w14:textId="098D8EC4" w:rsidR="00235FC2" w:rsidRDefault="002831B8" w:rsidP="002831B8">
      <w:pPr>
        <w:ind w:left="426"/>
      </w:pPr>
      <w:r>
        <w:t xml:space="preserve">1. </w:t>
      </w:r>
      <w:r w:rsidR="00DB0B48" w:rsidRPr="00FE05D4">
        <w:t xml:space="preserve">In the </w:t>
      </w:r>
      <w:r w:rsidR="001606C0">
        <w:t>c</w:t>
      </w:r>
      <w:r w:rsidR="00DB0B48" w:rsidRPr="00FE05D4">
        <w:t xml:space="preserve">oncept </w:t>
      </w:r>
      <w:r w:rsidR="001606C0">
        <w:t>n</w:t>
      </w:r>
      <w:r w:rsidR="00DB0B48" w:rsidRPr="00FE05D4">
        <w:t xml:space="preserve">ote </w:t>
      </w:r>
      <w:r w:rsidR="00DB30A9">
        <w:t>lead a</w:t>
      </w:r>
      <w:r w:rsidR="00DB0B48" w:rsidRPr="00FE05D4">
        <w:t xml:space="preserve">pplicants must provide </w:t>
      </w:r>
      <w:r w:rsidR="00235FC2" w:rsidRPr="00FE05D4">
        <w:t xml:space="preserve">only </w:t>
      </w:r>
      <w:r w:rsidR="00DB0B48" w:rsidRPr="00FE05D4">
        <w:t xml:space="preserve">an estimate of </w:t>
      </w:r>
      <w:r w:rsidR="00235FC2">
        <w:t xml:space="preserve">the </w:t>
      </w:r>
      <w:r w:rsidR="0029037C" w:rsidRPr="0029037C">
        <w:rPr>
          <w:b/>
          <w:bCs/>
          <w:szCs w:val="22"/>
        </w:rPr>
        <w:t>requested EU contribution</w:t>
      </w:r>
      <w:r w:rsidR="00235FC2" w:rsidRPr="001606C0">
        <w:rPr>
          <w:b/>
        </w:rPr>
        <w:t>,</w:t>
      </w:r>
      <w:r w:rsidR="00235FC2">
        <w:t xml:space="preserve"> as well as</w:t>
      </w:r>
      <w:r w:rsidR="00EE2C5A" w:rsidRPr="00FE05D4">
        <w:t xml:space="preserve"> an indicative percentage of th</w:t>
      </w:r>
      <w:r w:rsidR="0029037C">
        <w:t>is</w:t>
      </w:r>
      <w:r w:rsidR="00EE2C5A" w:rsidRPr="00FE05D4">
        <w:t xml:space="preserve"> contribution in relation to the </w:t>
      </w:r>
      <w:r w:rsidR="0029037C">
        <w:t xml:space="preserve">total </w:t>
      </w:r>
      <w:r w:rsidR="0029037C" w:rsidRPr="007467D0">
        <w:rPr>
          <w:szCs w:val="22"/>
        </w:rPr>
        <w:t>eligible costs</w:t>
      </w:r>
      <w:r w:rsidR="0029037C">
        <w:rPr>
          <w:szCs w:val="22"/>
        </w:rPr>
        <w:t xml:space="preserve"> of the action</w:t>
      </w:r>
      <w:r w:rsidR="00DB0B48" w:rsidRPr="00FE05D4">
        <w:t xml:space="preserve">. </w:t>
      </w:r>
      <w:r w:rsidR="00235FC2">
        <w:t>A detailed budget is to be submitted</w:t>
      </w:r>
      <w:r w:rsidR="00DB0B48" w:rsidRPr="00FE05D4">
        <w:t xml:space="preserve"> </w:t>
      </w:r>
      <w:r w:rsidR="00235FC2">
        <w:t xml:space="preserve">only by </w:t>
      </w:r>
      <w:r w:rsidR="00DB30A9">
        <w:t>lead a</w:t>
      </w:r>
      <w:r w:rsidR="00DB0B48" w:rsidRPr="00FE05D4">
        <w:t>pplicant</w:t>
      </w:r>
      <w:r w:rsidR="00D751A1" w:rsidRPr="00FE05D4">
        <w:t>s</w:t>
      </w:r>
      <w:r w:rsidR="00DB0B48" w:rsidRPr="00FE05D4">
        <w:t xml:space="preserve"> invited to submit a full </w:t>
      </w:r>
      <w:r w:rsidR="006459C5" w:rsidRPr="00FE05D4">
        <w:t>application</w:t>
      </w:r>
      <w:r w:rsidR="00DB0B48" w:rsidRPr="00FE05D4">
        <w:t xml:space="preserve"> in the second phase</w:t>
      </w:r>
      <w:r w:rsidR="00EA52B9">
        <w:t>.</w:t>
      </w:r>
    </w:p>
    <w:p w14:paraId="1E8C3C25" w14:textId="0197756D" w:rsidR="00222C04" w:rsidRPr="005D0288" w:rsidRDefault="002831B8" w:rsidP="00222C04">
      <w:pPr>
        <w:ind w:left="426"/>
      </w:pPr>
      <w:r>
        <w:t xml:space="preserve">2. </w:t>
      </w:r>
      <w:r w:rsidR="008A5CD8" w:rsidRPr="00FE05D4">
        <w:t xml:space="preserve">The elements </w:t>
      </w:r>
      <w:r w:rsidR="002A0BA0" w:rsidRPr="00FE05D4">
        <w:t>outlined in</w:t>
      </w:r>
      <w:r w:rsidR="008A5CD8" w:rsidRPr="00FE05D4">
        <w:t xml:space="preserve"> the </w:t>
      </w:r>
      <w:r w:rsidR="00A652FB">
        <w:t>c</w:t>
      </w:r>
      <w:r w:rsidR="008A5CD8" w:rsidRPr="00FE05D4">
        <w:t xml:space="preserve">oncept </w:t>
      </w:r>
      <w:r w:rsidR="00A652FB">
        <w:t>n</w:t>
      </w:r>
      <w:r w:rsidR="008A5CD8" w:rsidRPr="00FE05D4">
        <w:t xml:space="preserve">ote may not be modified in the </w:t>
      </w:r>
      <w:r w:rsidR="00A652FB">
        <w:t>f</w:t>
      </w:r>
      <w:r w:rsidR="008A5CD8" w:rsidRPr="00FE05D4">
        <w:t xml:space="preserve">ull </w:t>
      </w:r>
      <w:r w:rsidR="00A652FB">
        <w:t>a</w:t>
      </w:r>
      <w:r w:rsidR="008A5CD8" w:rsidRPr="00FE05D4">
        <w:t xml:space="preserve">pplication form. </w:t>
      </w:r>
      <w:r w:rsidR="00030E42" w:rsidRPr="00FE05D4">
        <w:t xml:space="preserve">The EU contribution </w:t>
      </w:r>
      <w:r w:rsidR="00DB0B48" w:rsidRPr="00FE05D4">
        <w:t>may not vary from the initial estimate by more than 20</w:t>
      </w:r>
      <w:r w:rsidR="00A016F9" w:rsidRPr="00D52530">
        <w:rPr>
          <w:w w:val="50"/>
        </w:rPr>
        <w:t> </w:t>
      </w:r>
      <w:r w:rsidR="00DB0B48" w:rsidRPr="00FE05D4">
        <w:t>%</w:t>
      </w:r>
      <w:r w:rsidR="004B244E" w:rsidRPr="00FE05D4">
        <w:t xml:space="preserve">. </w:t>
      </w:r>
      <w:r w:rsidR="00DB30A9">
        <w:t>Lead a</w:t>
      </w:r>
      <w:r w:rsidR="00B34A8F" w:rsidRPr="00FE05D4">
        <w:t xml:space="preserve">pplicants are </w:t>
      </w:r>
      <w:r w:rsidR="00DB0B48" w:rsidRPr="00FE05D4">
        <w:t>free to</w:t>
      </w:r>
      <w:r w:rsidR="00A652FB">
        <w:t xml:space="preserve"> </w:t>
      </w:r>
      <w:r w:rsidR="00DB0B48" w:rsidRPr="00FE05D4">
        <w:t xml:space="preserve">adapt the </w:t>
      </w:r>
      <w:r w:rsidR="00920C81">
        <w:t>requested EU contribution as a percentage of the total eli</w:t>
      </w:r>
      <w:r w:rsidR="00DB30A9">
        <w:t>g</w:t>
      </w:r>
      <w:r w:rsidR="00920C81">
        <w:t>i</w:t>
      </w:r>
      <w:r w:rsidR="00DB30A9">
        <w:t>b</w:t>
      </w:r>
      <w:r w:rsidR="00920C81">
        <w:t xml:space="preserve">le costs </w:t>
      </w:r>
      <w:r w:rsidR="00237938" w:rsidRPr="00FE05D4">
        <w:t xml:space="preserve">within </w:t>
      </w:r>
      <w:r w:rsidR="00DB0B48" w:rsidRPr="00FE05D4">
        <w:t>the minimum and maximum amount</w:t>
      </w:r>
      <w:r w:rsidR="00930940">
        <w:t>s</w:t>
      </w:r>
      <w:r w:rsidR="00DB0B48" w:rsidRPr="00FE05D4">
        <w:t xml:space="preserve"> </w:t>
      </w:r>
      <w:r w:rsidR="006B5799" w:rsidRPr="00FE05D4">
        <w:t xml:space="preserve">and percentages </w:t>
      </w:r>
      <w:r w:rsidR="00920C81">
        <w:t>provided</w:t>
      </w:r>
      <w:r w:rsidR="006B5799" w:rsidRPr="00FE05D4">
        <w:t xml:space="preserve"> </w:t>
      </w:r>
      <w:r w:rsidR="002A0BA0" w:rsidRPr="00FE05D4">
        <w:t>in</w:t>
      </w:r>
      <w:r w:rsidR="006B5799" w:rsidRPr="00FE05D4">
        <w:t xml:space="preserve"> section 1.</w:t>
      </w:r>
      <w:r w:rsidR="00896ECA" w:rsidRPr="00FE05D4">
        <w:t>3</w:t>
      </w:r>
      <w:r w:rsidR="001B6F5A" w:rsidRPr="00FE05D4">
        <w:t>.</w:t>
      </w:r>
      <w:r w:rsidR="00B97B95" w:rsidRPr="00FE05D4">
        <w:t xml:space="preserve"> </w:t>
      </w:r>
      <w:r w:rsidR="00222C04" w:rsidRPr="00342AFB">
        <w:rPr>
          <w:b/>
          <w:iCs/>
          <w:u w:val="single"/>
        </w:rPr>
        <w:t xml:space="preserve">The lead applicant may replace a co-applicant or an affiliated entity only in duly justified cases (e.g. bankruptcy of initial co-applicant or affiliated entity). In this case the new co-applicant/affiliated entity must be of a </w:t>
      </w:r>
      <w:r w:rsidR="00222C04" w:rsidRPr="00342AFB">
        <w:rPr>
          <w:b/>
          <w:iCs/>
          <w:u w:val="single"/>
        </w:rPr>
        <w:lastRenderedPageBreak/>
        <w:t>similar nature as the initial one. The lead applicant may adjust the duration of the action if unforeseen circumstances outside the scope of the applicants have taken place following the submission of the concept note and require such adaptation (risk of action not being carried out).</w:t>
      </w:r>
      <w:r w:rsidR="000D45DA" w:rsidRPr="00342AFB">
        <w:rPr>
          <w:b/>
          <w:iCs/>
          <w:u w:val="single"/>
        </w:rPr>
        <w:t xml:space="preserve"> In such cases the duration must remain within the limits imposed by the guidelines for applicants.</w:t>
      </w:r>
      <w:r w:rsidR="0065356B" w:rsidRPr="00342AFB">
        <w:rPr>
          <w:b/>
          <w:iCs/>
          <w:u w:val="single"/>
        </w:rPr>
        <w:t xml:space="preserve"> An explanation/justification of the relevant replacement/adjustment shall be included </w:t>
      </w:r>
      <w:r w:rsidR="003701FE" w:rsidRPr="00342AFB">
        <w:rPr>
          <w:b/>
          <w:iCs/>
          <w:u w:val="single"/>
        </w:rPr>
        <w:t xml:space="preserve">in section 2.1.1 </w:t>
      </w:r>
      <w:r w:rsidR="00EA52B9">
        <w:rPr>
          <w:b/>
          <w:iCs/>
          <w:u w:val="single"/>
        </w:rPr>
        <w:t>(</w:t>
      </w:r>
      <w:proofErr w:type="gramStart"/>
      <w:r w:rsidR="00EA52B9">
        <w:rPr>
          <w:b/>
          <w:iCs/>
          <w:u w:val="single"/>
        </w:rPr>
        <w:t>iv</w:t>
      </w:r>
      <w:proofErr w:type="gramEnd"/>
      <w:r w:rsidR="00EA52B9">
        <w:rPr>
          <w:b/>
          <w:iCs/>
          <w:u w:val="single"/>
        </w:rPr>
        <w:t xml:space="preserve">) </w:t>
      </w:r>
      <w:r w:rsidR="003701FE" w:rsidRPr="00342AFB">
        <w:rPr>
          <w:b/>
          <w:iCs/>
          <w:u w:val="single"/>
        </w:rPr>
        <w:t>of the grant application form</w:t>
      </w:r>
      <w:r w:rsidR="0065356B" w:rsidRPr="005D0288">
        <w:rPr>
          <w:iCs/>
        </w:rPr>
        <w:t>.</w:t>
      </w:r>
    </w:p>
    <w:p w14:paraId="04EC285E" w14:textId="77777777" w:rsidR="00DB0B48" w:rsidRPr="00807DAF" w:rsidRDefault="00B97B95" w:rsidP="002831B8">
      <w:pPr>
        <w:ind w:left="426"/>
        <w:rPr>
          <w:color w:val="000000"/>
        </w:rPr>
      </w:pPr>
      <w:r w:rsidRPr="00FE05D4">
        <w:t>Own contributions by the applicants can be replaced by other donors</w:t>
      </w:r>
      <w:r w:rsidR="006507EF" w:rsidRPr="00FE05D4">
        <w:t>'</w:t>
      </w:r>
      <w:r w:rsidRPr="00FE05D4">
        <w:t xml:space="preserve"> contributions at any time.</w:t>
      </w:r>
    </w:p>
    <w:p w14:paraId="72D55837" w14:textId="77777777" w:rsidR="00565ECD" w:rsidRPr="001606C0" w:rsidRDefault="002831B8" w:rsidP="001606C0">
      <w:pPr>
        <w:ind w:left="426"/>
        <w:rPr>
          <w:b/>
          <w:color w:val="000000"/>
          <w:lang w:eastAsia="en-GB"/>
        </w:rPr>
      </w:pPr>
      <w:r>
        <w:rPr>
          <w:color w:val="000000"/>
          <w:lang w:eastAsia="en-GB"/>
        </w:rPr>
        <w:t>3.</w:t>
      </w:r>
      <w:r w:rsidR="0029037C">
        <w:rPr>
          <w:color w:val="000000"/>
          <w:lang w:eastAsia="en-GB"/>
        </w:rPr>
        <w:t xml:space="preserve"> O</w:t>
      </w:r>
      <w:r w:rsidR="00565ECD" w:rsidRPr="00FE05D4">
        <w:rPr>
          <w:color w:val="000000"/>
          <w:lang w:eastAsia="en-GB"/>
        </w:rPr>
        <w:t xml:space="preserve">nly the </w:t>
      </w:r>
      <w:r w:rsidR="00BC1CD4">
        <w:rPr>
          <w:color w:val="000000"/>
          <w:lang w:eastAsia="en-GB"/>
        </w:rPr>
        <w:t>c</w:t>
      </w:r>
      <w:r w:rsidR="00565ECD" w:rsidRPr="00FE05D4">
        <w:rPr>
          <w:color w:val="000000"/>
          <w:lang w:eastAsia="en-GB"/>
        </w:rPr>
        <w:t xml:space="preserve">oncept </w:t>
      </w:r>
      <w:r w:rsidR="00BC1CD4">
        <w:rPr>
          <w:color w:val="000000"/>
          <w:lang w:eastAsia="en-GB"/>
        </w:rPr>
        <w:t>n</w:t>
      </w:r>
      <w:r w:rsidR="00565ECD" w:rsidRPr="00FE05D4">
        <w:rPr>
          <w:color w:val="000000"/>
          <w:lang w:eastAsia="en-GB"/>
        </w:rPr>
        <w:t>ote form will be evaluated. It is therefore of utmost importance that this document contains</w:t>
      </w:r>
      <w:r w:rsidR="00565ECD">
        <w:rPr>
          <w:color w:val="000000"/>
          <w:lang w:eastAsia="en-GB"/>
        </w:rPr>
        <w:t xml:space="preserve"> </w:t>
      </w:r>
      <w:r w:rsidR="00565ECD" w:rsidRPr="001606C0">
        <w:rPr>
          <w:b/>
          <w:color w:val="000000"/>
          <w:lang w:eastAsia="en-GB"/>
        </w:rPr>
        <w:t>all relevant information</w:t>
      </w:r>
      <w:r w:rsidR="00565ECD" w:rsidRPr="00FE05D4">
        <w:rPr>
          <w:color w:val="000000"/>
          <w:lang w:eastAsia="en-GB"/>
        </w:rPr>
        <w:t xml:space="preserve"> concerning the action. </w:t>
      </w:r>
      <w:r w:rsidR="00565ECD" w:rsidRPr="001606C0">
        <w:rPr>
          <w:b/>
          <w:color w:val="000000"/>
          <w:lang w:eastAsia="en-GB"/>
        </w:rPr>
        <w:t>No additional annexes should be sent.</w:t>
      </w:r>
    </w:p>
    <w:p w14:paraId="7DA62D6A" w14:textId="77777777" w:rsidR="00DB0B48" w:rsidRPr="00FE05D4" w:rsidRDefault="00DB0B48" w:rsidP="0068216F">
      <w:pPr>
        <w:rPr>
          <w:color w:val="000000"/>
        </w:rPr>
      </w:pPr>
      <w:r w:rsidRPr="00FE05D4">
        <w:rPr>
          <w:color w:val="000000"/>
        </w:rPr>
        <w:t xml:space="preserve">Any error or major discrepancy related to the </w:t>
      </w:r>
      <w:r w:rsidR="00A652FB">
        <w:rPr>
          <w:color w:val="000000"/>
        </w:rPr>
        <w:t>c</w:t>
      </w:r>
      <w:r w:rsidRPr="00FE05D4">
        <w:rPr>
          <w:color w:val="000000"/>
        </w:rPr>
        <w:t xml:space="preserve">oncept </w:t>
      </w:r>
      <w:r w:rsidR="00A652FB">
        <w:rPr>
          <w:color w:val="000000"/>
        </w:rPr>
        <w:t>n</w:t>
      </w:r>
      <w:r w:rsidRPr="00FE05D4">
        <w:rPr>
          <w:color w:val="000000"/>
        </w:rPr>
        <w:t xml:space="preserve">ote </w:t>
      </w:r>
      <w:r w:rsidR="002A0BA0" w:rsidRPr="00FE05D4">
        <w:rPr>
          <w:color w:val="000000"/>
        </w:rPr>
        <w:t xml:space="preserve">instructions </w:t>
      </w:r>
      <w:r w:rsidRPr="00FE05D4">
        <w:rPr>
          <w:color w:val="000000"/>
        </w:rPr>
        <w:t xml:space="preserve">may lead to the rejection of the </w:t>
      </w:r>
      <w:r w:rsidR="00A652FB">
        <w:rPr>
          <w:color w:val="000000"/>
        </w:rPr>
        <w:t>c</w:t>
      </w:r>
      <w:r w:rsidRPr="00FE05D4">
        <w:rPr>
          <w:color w:val="000000"/>
        </w:rPr>
        <w:t xml:space="preserve">oncept </w:t>
      </w:r>
      <w:r w:rsidR="00A652FB">
        <w:rPr>
          <w:color w:val="000000"/>
        </w:rPr>
        <w:t>n</w:t>
      </w:r>
      <w:r w:rsidRPr="00FE05D4">
        <w:rPr>
          <w:color w:val="000000"/>
        </w:rPr>
        <w:t>ote.</w:t>
      </w:r>
    </w:p>
    <w:p w14:paraId="6B2929E0" w14:textId="77777777" w:rsidR="00DB0B48" w:rsidRPr="00FE05D4" w:rsidRDefault="00DB0B48" w:rsidP="0068216F">
      <w:r w:rsidRPr="00FE05D4">
        <w:rPr>
          <w:color w:val="000000"/>
        </w:rPr>
        <w:t xml:space="preserve">Clarifications will only be requested when information provided is </w:t>
      </w:r>
      <w:r w:rsidR="006E09FB" w:rsidRPr="00FE05D4">
        <w:rPr>
          <w:color w:val="000000"/>
        </w:rPr>
        <w:t>not sufficient to conduct</w:t>
      </w:r>
      <w:r w:rsidRPr="00FE05D4">
        <w:rPr>
          <w:color w:val="000000"/>
        </w:rPr>
        <w:t xml:space="preserve"> an objective assessment. </w:t>
      </w:r>
    </w:p>
    <w:p w14:paraId="253865A5" w14:textId="77777777" w:rsidR="008B4806" w:rsidRPr="00FE05D4" w:rsidRDefault="008B4806" w:rsidP="007A0900">
      <w:pPr>
        <w:pStyle w:val="Guidelines3"/>
        <w:numPr>
          <w:ilvl w:val="2"/>
          <w:numId w:val="15"/>
        </w:numPr>
      </w:pPr>
      <w:bookmarkStart w:id="17" w:name="_Toc125454353"/>
      <w:bookmarkStart w:id="18" w:name="_Toc487024645"/>
      <w:r w:rsidRPr="00FE05D4">
        <w:t xml:space="preserve">Where and how to send </w:t>
      </w:r>
      <w:r w:rsidR="00BC1CD4">
        <w:t>c</w:t>
      </w:r>
      <w:r w:rsidRPr="00FE05D4">
        <w:t xml:space="preserve">oncept </w:t>
      </w:r>
      <w:r w:rsidR="00BC1CD4">
        <w:t>n</w:t>
      </w:r>
      <w:r w:rsidRPr="00FE05D4">
        <w:t>otes</w:t>
      </w:r>
      <w:bookmarkEnd w:id="17"/>
      <w:bookmarkEnd w:id="18"/>
    </w:p>
    <w:p w14:paraId="6D310147" w14:textId="77777777" w:rsidR="005D0288" w:rsidRDefault="005D0288" w:rsidP="005D0288">
      <w:pPr>
        <w:spacing w:before="240"/>
      </w:pPr>
      <w:r>
        <w:t xml:space="preserve">The concept note together with the declaration by the lead applicant (Annex A.1 section 2) </w:t>
      </w:r>
      <w:r w:rsidRPr="00A73F08">
        <w:rPr>
          <w:b/>
        </w:rPr>
        <w:t>must</w:t>
      </w:r>
      <w:r>
        <w:t xml:space="preserve"> </w:t>
      </w:r>
      <w:r w:rsidRPr="00A73F08">
        <w:rPr>
          <w:b/>
        </w:rPr>
        <w:t>be submitted online</w:t>
      </w:r>
      <w:r>
        <w:t xml:space="preserve"> </w:t>
      </w:r>
      <w:r w:rsidRPr="00A73F08">
        <w:rPr>
          <w:b/>
        </w:rPr>
        <w:t>via PROSPECT</w:t>
      </w:r>
      <w:r>
        <w:t xml:space="preserve"> </w:t>
      </w:r>
      <w:hyperlink r:id="rId24" w:history="1">
        <w:r w:rsidRPr="00B77DBC">
          <w:rPr>
            <w:rStyle w:val="Hyperlink"/>
          </w:rPr>
          <w:t>https://webgate.ec.europa.eu/europeaid/prospect</w:t>
        </w:r>
      </w:hyperlink>
      <w:r>
        <w:t xml:space="preserve"> following the instructions given in the PROSPECT user manual.</w:t>
      </w:r>
    </w:p>
    <w:p w14:paraId="0C0AE20E" w14:textId="77777777" w:rsidR="005D0288" w:rsidRDefault="005D0288" w:rsidP="005D0288">
      <w:pPr>
        <w:pStyle w:val="Default"/>
        <w:rPr>
          <w:sz w:val="22"/>
          <w:szCs w:val="22"/>
        </w:rPr>
      </w:pPr>
      <w:r>
        <w:rPr>
          <w:sz w:val="22"/>
          <w:szCs w:val="22"/>
        </w:rPr>
        <w:t xml:space="preserve">Upon submission of a concept note online, the lead applicant will receive an automatic confirmation of receipt in its PROSPECT profile. </w:t>
      </w:r>
    </w:p>
    <w:p w14:paraId="188EDDB9" w14:textId="77777777" w:rsidR="005D0288" w:rsidRPr="00A73F08" w:rsidRDefault="005D0288" w:rsidP="005D0288">
      <w:pPr>
        <w:pStyle w:val="Default"/>
        <w:rPr>
          <w:sz w:val="22"/>
          <w:szCs w:val="22"/>
        </w:rPr>
      </w:pPr>
    </w:p>
    <w:p w14:paraId="3BDCC33F" w14:textId="77777777" w:rsidR="005D0288" w:rsidRPr="00ED6A4D" w:rsidRDefault="005D0288" w:rsidP="005D0288">
      <w:pPr>
        <w:spacing w:before="0"/>
        <w:rPr>
          <w:b/>
          <w:color w:val="000000"/>
        </w:rPr>
      </w:pPr>
      <w:r w:rsidRPr="00ED6A4D">
        <w:rPr>
          <w:color w:val="000000"/>
        </w:rPr>
        <w:t xml:space="preserve">If it is impossible for lead applicants to submit their concept note online via PROSPECT for technical </w:t>
      </w:r>
      <w:r w:rsidRPr="00ED6A4D">
        <w:t>reasons, they must send their proposal in a sealed envelope and attach the concept note together with the declaration by the lead applicant (</w:t>
      </w:r>
      <w:r w:rsidRPr="00ED6A4D">
        <w:rPr>
          <w:b/>
        </w:rPr>
        <w:t xml:space="preserve">Annex </w:t>
      </w:r>
      <w:proofErr w:type="gramStart"/>
      <w:r w:rsidRPr="00ED6A4D">
        <w:rPr>
          <w:b/>
        </w:rPr>
        <w:t>A.1</w:t>
      </w:r>
      <w:r w:rsidRPr="00ED6A4D">
        <w:t xml:space="preserve">  </w:t>
      </w:r>
      <w:r w:rsidRPr="00ED6A4D">
        <w:rPr>
          <w:b/>
        </w:rPr>
        <w:t>section</w:t>
      </w:r>
      <w:proofErr w:type="gramEnd"/>
      <w:r w:rsidRPr="00ED6A4D">
        <w:rPr>
          <w:b/>
        </w:rPr>
        <w:t xml:space="preserve"> 2</w:t>
      </w:r>
      <w:r w:rsidRPr="00ED6A4D">
        <w:t>). In particular, the lead applicant must send</w:t>
      </w:r>
      <w:r w:rsidRPr="00ED6A4D">
        <w:rPr>
          <w:lang w:eastAsia="en-GB"/>
        </w:rPr>
        <w:t xml:space="preserve">, in a sealed envelope as described below </w:t>
      </w:r>
      <w:r w:rsidRPr="00ED6A4D">
        <w:t>the following items:</w:t>
      </w:r>
    </w:p>
    <w:p w14:paraId="1F3B14D7" w14:textId="655C34BA" w:rsidR="005D0288" w:rsidRPr="00ED6A4D" w:rsidRDefault="005D0288" w:rsidP="005D0288">
      <w:pPr>
        <w:spacing w:before="0"/>
        <w:ind w:firstLine="720"/>
      </w:pPr>
      <w:r w:rsidRPr="00ED6A4D">
        <w:t xml:space="preserve"> a. One original of the concept note. The signed declaration by the lead applicant (Annex A.1 section 2) must be printed and stapled separately and enclosed in the envelope</w:t>
      </w:r>
      <w:r w:rsidR="009015D1">
        <w:t>;</w:t>
      </w:r>
    </w:p>
    <w:p w14:paraId="389B447D" w14:textId="77777777" w:rsidR="005D0288" w:rsidRDefault="005D0288" w:rsidP="005D0288">
      <w:pPr>
        <w:ind w:firstLine="720"/>
      </w:pPr>
      <w:r>
        <w:rPr>
          <w:lang w:eastAsia="en-GB"/>
        </w:rPr>
        <w:t>b</w:t>
      </w:r>
      <w:r w:rsidRPr="00ED6A4D">
        <w:t>. An electronic version (</w:t>
      </w:r>
      <w:r>
        <w:t xml:space="preserve">e.g. </w:t>
      </w:r>
      <w:proofErr w:type="spellStart"/>
      <w:r w:rsidRPr="00ED6A4D">
        <w:t>CD-Rom</w:t>
      </w:r>
      <w:proofErr w:type="spellEnd"/>
      <w:r w:rsidRPr="00ED6A4D">
        <w:t>) of the items under point (a)</w:t>
      </w:r>
      <w:r w:rsidRPr="00ED6A4D">
        <w:rPr>
          <w:lang w:eastAsia="en-GB"/>
        </w:rPr>
        <w:t xml:space="preserve">. </w:t>
      </w:r>
      <w:r w:rsidRPr="00ED6A4D">
        <w:t xml:space="preserve">The electronic file must contain </w:t>
      </w:r>
      <w:r w:rsidRPr="00ED6A4D">
        <w:rPr>
          <w:b/>
        </w:rPr>
        <w:t>exactly the same</w:t>
      </w:r>
      <w:r w:rsidRPr="00ED6A4D">
        <w:t xml:space="preserve"> application as the paper version enclosed. </w:t>
      </w:r>
    </w:p>
    <w:p w14:paraId="379F34B8" w14:textId="77777777" w:rsidR="005D0288" w:rsidRDefault="005D0288" w:rsidP="005D0288">
      <w:r w:rsidRPr="00A91CBA">
        <w:t>The outer envelope must bear the reference and the title of the Call for Proposals, the lot number and title, the full name and address of the applicant, and the words "Not to be opened before the opening session".</w:t>
      </w:r>
    </w:p>
    <w:p w14:paraId="71B6515B" w14:textId="77777777" w:rsidR="005D0288" w:rsidRPr="00A91CBA" w:rsidRDefault="005D0288" w:rsidP="005D0288">
      <w:r w:rsidRPr="00A91CBA">
        <w:t>Please note that "technical reasons" should be understood ONLY in a situation when PROSPECT is not responding. Paper submission when PROSPECT is working may lead to the rejection of the application.</w:t>
      </w:r>
    </w:p>
    <w:p w14:paraId="7A5BFA14" w14:textId="77777777" w:rsidR="005D0288" w:rsidRPr="00A91CBA" w:rsidRDefault="005D0288" w:rsidP="005D0288">
      <w:r w:rsidRPr="00A91CBA">
        <w:t xml:space="preserve">The validity of the submission off-line will be examined by the Evaluation Committee. </w:t>
      </w:r>
    </w:p>
    <w:p w14:paraId="3595D25E" w14:textId="77777777" w:rsidR="005D0288" w:rsidRPr="00A91CBA" w:rsidRDefault="005D0288" w:rsidP="005D0288">
      <w:r w:rsidRPr="00A91CBA">
        <w:t>Submission off-line for technical reasons should not be mixed up with paper submission for confidentiality reasons (please see below).</w:t>
      </w:r>
    </w:p>
    <w:p w14:paraId="4FB438CA" w14:textId="57231ED1" w:rsidR="005D0288" w:rsidRDefault="005D0288" w:rsidP="005D0288">
      <w:pPr>
        <w:rPr>
          <w:sz w:val="24"/>
          <w:szCs w:val="24"/>
          <w:lang w:eastAsia="es-ES_tradnl"/>
        </w:rPr>
      </w:pPr>
      <w:r w:rsidRPr="00727BB0">
        <w:rPr>
          <w:b/>
        </w:rPr>
        <w:t>NB: In exceptional cases</w:t>
      </w:r>
      <w:r w:rsidRPr="00A91CBA">
        <w:t xml:space="preserve">, when the applicants do not find it appropriate to send the Concept Note through PROSPECT due to security and confidentiality concerns of the actors involved, Concept Notes can instead be submitted in a sealed envelope by registered mail with delivery confirmation, private courier service or by hand-delivery at the address below (a signed and dated acknowledgement of receipt will be given by the </w:t>
      </w:r>
      <w:r w:rsidRPr="00061155">
        <w:t>European Commission). The fact that the proposal is sent due to security and confidentiality concerns should also be made clear in the envelope.</w:t>
      </w:r>
      <w:r w:rsidRPr="00061155">
        <w:rPr>
          <w:color w:val="000000"/>
        </w:rPr>
        <w:t xml:space="preserve"> </w:t>
      </w:r>
      <w:r w:rsidRPr="00061155">
        <w:rPr>
          <w:lang w:val="en-US"/>
        </w:rPr>
        <w:t xml:space="preserve">When the organizations involved in the proposal do not find it appropriate to register in PADOR online due to security and confidentiality </w:t>
      </w:r>
      <w:r w:rsidRPr="00061155">
        <w:rPr>
          <w:lang w:val="en-US"/>
        </w:rPr>
        <w:lastRenderedPageBreak/>
        <w:t xml:space="preserve">concerns, they </w:t>
      </w:r>
      <w:r w:rsidRPr="00061155">
        <w:rPr>
          <w:color w:val="000000"/>
          <w:lang w:val="en-US" w:eastAsia="en-GB"/>
        </w:rPr>
        <w:t>must complete the ‘PADOR off-line form</w:t>
      </w:r>
      <w:r w:rsidRPr="00061155">
        <w:rPr>
          <w:rStyle w:val="FootnoteReference"/>
          <w:rFonts w:ascii="Calibri" w:hAnsi="Calibri"/>
        </w:rPr>
        <w:footnoteReference w:id="37"/>
      </w:r>
      <w:r w:rsidRPr="00061155">
        <w:rPr>
          <w:color w:val="000000"/>
          <w:lang w:val="en-US" w:eastAsia="en-GB"/>
        </w:rPr>
        <w:t xml:space="preserve"> attached to these guidelines. This form must be sent </w:t>
      </w:r>
      <w:r w:rsidRPr="00061155">
        <w:rPr>
          <w:b/>
          <w:color w:val="000000"/>
          <w:u w:val="single"/>
          <w:lang w:val="en-US" w:eastAsia="en-GB"/>
        </w:rPr>
        <w:t xml:space="preserve">together with the application, </w:t>
      </w:r>
      <w:r w:rsidRPr="00061155">
        <w:rPr>
          <w:color w:val="000000"/>
          <w:lang w:val="en-US" w:eastAsia="en-GB"/>
        </w:rPr>
        <w:t>by the submission deadline (see sections 2.2.</w:t>
      </w:r>
      <w:r w:rsidR="002278FF">
        <w:rPr>
          <w:color w:val="000000"/>
          <w:lang w:val="en-US" w:eastAsia="en-GB"/>
        </w:rPr>
        <w:t>3</w:t>
      </w:r>
      <w:r w:rsidRPr="00061155">
        <w:rPr>
          <w:color w:val="000000"/>
          <w:lang w:val="en-US" w:eastAsia="en-GB"/>
        </w:rPr>
        <w:t xml:space="preserve"> and 2.2.</w:t>
      </w:r>
      <w:r w:rsidR="002278FF">
        <w:rPr>
          <w:color w:val="000000"/>
          <w:lang w:val="en-US" w:eastAsia="en-GB"/>
        </w:rPr>
        <w:t>7</w:t>
      </w:r>
      <w:r w:rsidRPr="00061155">
        <w:rPr>
          <w:sz w:val="24"/>
          <w:szCs w:val="24"/>
          <w:lang w:eastAsia="es-ES_tradnl"/>
        </w:rPr>
        <w:t>.</w:t>
      </w:r>
      <w:r>
        <w:rPr>
          <w:sz w:val="24"/>
          <w:szCs w:val="24"/>
          <w:lang w:eastAsia="es-ES_tradnl"/>
        </w:rPr>
        <w:t xml:space="preserve">). </w:t>
      </w:r>
    </w:p>
    <w:p w14:paraId="4FF372A7" w14:textId="77777777" w:rsidR="005D0288" w:rsidRPr="002278FF" w:rsidRDefault="005D0288" w:rsidP="005D0288">
      <w:pPr>
        <w:rPr>
          <w:szCs w:val="22"/>
        </w:rPr>
      </w:pPr>
      <w:r w:rsidRPr="002278FF">
        <w:rPr>
          <w:szCs w:val="22"/>
        </w:rPr>
        <w:t>To reduce expense and waste, we strongly recommend that you do not use plastic folders or dividers. Please also use double-sided printing if possible.</w:t>
      </w:r>
    </w:p>
    <w:p w14:paraId="49823F44" w14:textId="77777777" w:rsidR="005D0288" w:rsidRPr="001007A4" w:rsidRDefault="005D0288" w:rsidP="005D0288">
      <w:pPr>
        <w:rPr>
          <w:szCs w:val="22"/>
          <w:u w:val="single"/>
        </w:rPr>
      </w:pPr>
      <w:r w:rsidRPr="001007A4">
        <w:rPr>
          <w:szCs w:val="22"/>
          <w:u w:val="single"/>
        </w:rPr>
        <w:t>Postal address</w:t>
      </w:r>
    </w:p>
    <w:p w14:paraId="67F9DF96" w14:textId="77777777" w:rsidR="002E3CF4" w:rsidRPr="002278FF" w:rsidRDefault="005D0288" w:rsidP="002E3CF4">
      <w:pPr>
        <w:pStyle w:val="Default"/>
        <w:rPr>
          <w:sz w:val="22"/>
          <w:szCs w:val="22"/>
        </w:rPr>
      </w:pPr>
      <w:r w:rsidRPr="009015D1">
        <w:rPr>
          <w:sz w:val="22"/>
          <w:szCs w:val="22"/>
        </w:rPr>
        <w:t>European Commission</w:t>
      </w:r>
      <w:r w:rsidRPr="009015D1">
        <w:rPr>
          <w:sz w:val="22"/>
          <w:szCs w:val="22"/>
        </w:rPr>
        <w:tab/>
      </w:r>
      <w:r w:rsidRPr="009015D1">
        <w:rPr>
          <w:sz w:val="22"/>
          <w:szCs w:val="22"/>
        </w:rPr>
        <w:br/>
        <w:t xml:space="preserve">Directorate-General for International Cooperation and Development </w:t>
      </w:r>
      <w:r w:rsidRPr="009015D1">
        <w:rPr>
          <w:sz w:val="22"/>
          <w:szCs w:val="22"/>
        </w:rPr>
        <w:br/>
      </w:r>
      <w:r w:rsidR="002E3CF4" w:rsidRPr="009015D1">
        <w:rPr>
          <w:sz w:val="22"/>
          <w:szCs w:val="22"/>
        </w:rPr>
        <w:t>Unit DEVCO B6 Finance and Contracts</w:t>
      </w:r>
    </w:p>
    <w:p w14:paraId="080CFF6E" w14:textId="77777777" w:rsidR="006C0527" w:rsidRPr="002278FF" w:rsidRDefault="006C0527" w:rsidP="006C0527">
      <w:pPr>
        <w:pStyle w:val="Default"/>
        <w:rPr>
          <w:sz w:val="22"/>
          <w:szCs w:val="22"/>
        </w:rPr>
      </w:pPr>
      <w:r w:rsidRPr="002278FF">
        <w:rPr>
          <w:sz w:val="22"/>
          <w:szCs w:val="22"/>
        </w:rPr>
        <w:t xml:space="preserve">Attn. Head of Unit L-41 03/110 </w:t>
      </w:r>
    </w:p>
    <w:p w14:paraId="24C2024D" w14:textId="45B3ED92" w:rsidR="005D0288" w:rsidRPr="002D1DD4" w:rsidRDefault="006C0527" w:rsidP="006C0527">
      <w:pPr>
        <w:jc w:val="left"/>
        <w:rPr>
          <w:szCs w:val="22"/>
          <w:lang w:val="fr-BE"/>
        </w:rPr>
      </w:pPr>
      <w:r w:rsidRPr="009015D1">
        <w:rPr>
          <w:szCs w:val="22"/>
          <w:lang w:val="fr-BE"/>
        </w:rPr>
        <w:t>Avenue du Bourget, 1</w:t>
      </w:r>
      <w:r w:rsidR="005D0288" w:rsidRPr="009015D1">
        <w:rPr>
          <w:lang w:val="fr-BE"/>
        </w:rPr>
        <w:br/>
        <w:t>B-1049 Brussels</w:t>
      </w:r>
      <w:r w:rsidR="005D0288" w:rsidRPr="009015D1">
        <w:rPr>
          <w:lang w:val="fr-BE"/>
        </w:rPr>
        <w:br/>
        <w:t>BELGIUM</w:t>
      </w:r>
    </w:p>
    <w:p w14:paraId="41DEFB58" w14:textId="77777777" w:rsidR="005D0288" w:rsidRPr="001007A4" w:rsidRDefault="005D0288" w:rsidP="005D0288">
      <w:pPr>
        <w:rPr>
          <w:szCs w:val="22"/>
          <w:u w:val="single"/>
        </w:rPr>
      </w:pPr>
      <w:r w:rsidRPr="001007A4">
        <w:rPr>
          <w:szCs w:val="22"/>
          <w:u w:val="single"/>
        </w:rPr>
        <w:t>Address for hand delivery or by private courier service</w:t>
      </w:r>
    </w:p>
    <w:p w14:paraId="013751BC" w14:textId="06E2D2F4" w:rsidR="006C0527" w:rsidRPr="002278FF" w:rsidRDefault="005D0288" w:rsidP="006C0527">
      <w:pPr>
        <w:pStyle w:val="Default"/>
        <w:rPr>
          <w:sz w:val="22"/>
          <w:szCs w:val="22"/>
        </w:rPr>
      </w:pPr>
      <w:r w:rsidRPr="009015D1">
        <w:rPr>
          <w:sz w:val="22"/>
          <w:szCs w:val="22"/>
        </w:rPr>
        <w:t>European Commission</w:t>
      </w:r>
      <w:r w:rsidRPr="009015D1">
        <w:rPr>
          <w:sz w:val="22"/>
          <w:szCs w:val="22"/>
        </w:rPr>
        <w:br/>
        <w:t xml:space="preserve">Directorate-General for International Cooperation and Development </w:t>
      </w:r>
      <w:r w:rsidRPr="009015D1">
        <w:rPr>
          <w:sz w:val="22"/>
          <w:szCs w:val="22"/>
        </w:rPr>
        <w:br/>
      </w:r>
      <w:r w:rsidR="002E3CF4" w:rsidRPr="009015D1">
        <w:rPr>
          <w:sz w:val="22"/>
          <w:szCs w:val="22"/>
        </w:rPr>
        <w:t>Unit DEVCO B6 Finance and Contracts</w:t>
      </w:r>
    </w:p>
    <w:p w14:paraId="72E6B772" w14:textId="77777777" w:rsidR="006C0527" w:rsidRPr="002278FF" w:rsidRDefault="006C0527" w:rsidP="006C0527">
      <w:pPr>
        <w:pStyle w:val="Default"/>
        <w:rPr>
          <w:sz w:val="22"/>
          <w:szCs w:val="22"/>
        </w:rPr>
      </w:pPr>
      <w:r w:rsidRPr="002278FF">
        <w:rPr>
          <w:sz w:val="22"/>
          <w:szCs w:val="22"/>
        </w:rPr>
        <w:t xml:space="preserve">Attn. Head of Unit L-41 03/110 </w:t>
      </w:r>
    </w:p>
    <w:p w14:paraId="225D41BA" w14:textId="22ADC7F7" w:rsidR="005D0288" w:rsidRPr="00A6469E" w:rsidRDefault="006C0527" w:rsidP="006C0527">
      <w:pPr>
        <w:jc w:val="left"/>
        <w:rPr>
          <w:szCs w:val="22"/>
          <w:lang w:val="fr-BE"/>
        </w:rPr>
      </w:pPr>
      <w:r w:rsidRPr="002278FF">
        <w:rPr>
          <w:szCs w:val="22"/>
          <w:lang w:val="fr-BE"/>
        </w:rPr>
        <w:t>Avenue du Bourget, 1</w:t>
      </w:r>
      <w:r w:rsidR="005D0288" w:rsidRPr="001007A4">
        <w:rPr>
          <w:szCs w:val="22"/>
          <w:lang w:val="fr-BE"/>
        </w:rPr>
        <w:br/>
        <w:t xml:space="preserve">Central Mail Service </w:t>
      </w:r>
      <w:r w:rsidR="005D0288" w:rsidRPr="001007A4">
        <w:rPr>
          <w:szCs w:val="22"/>
          <w:lang w:val="fr-BE"/>
        </w:rPr>
        <w:br/>
        <w:t>Avenue du Bourget, 1</w:t>
      </w:r>
      <w:r w:rsidR="005D0288" w:rsidRPr="001007A4">
        <w:rPr>
          <w:szCs w:val="22"/>
          <w:lang w:val="fr-BE"/>
        </w:rPr>
        <w:br/>
        <w:t>B-1140 Brussels (Evere</w:t>
      </w:r>
      <w:proofErr w:type="gramStart"/>
      <w:r w:rsidR="005D0288" w:rsidRPr="001007A4">
        <w:rPr>
          <w:szCs w:val="22"/>
          <w:lang w:val="fr-BE"/>
        </w:rPr>
        <w:t>)</w:t>
      </w:r>
      <w:proofErr w:type="gramEnd"/>
      <w:r w:rsidR="005D0288" w:rsidRPr="001007A4">
        <w:rPr>
          <w:szCs w:val="22"/>
          <w:lang w:val="fr-BE"/>
        </w:rPr>
        <w:br/>
        <w:t>BELGIUM</w:t>
      </w:r>
    </w:p>
    <w:p w14:paraId="6EAF3F7B" w14:textId="77777777" w:rsidR="005D0288" w:rsidRPr="009015D1" w:rsidRDefault="005D0288" w:rsidP="005D0288">
      <w:pPr>
        <w:rPr>
          <w:szCs w:val="22"/>
        </w:rPr>
      </w:pPr>
      <w:r w:rsidRPr="009015D1">
        <w:rPr>
          <w:szCs w:val="22"/>
        </w:rPr>
        <w:t xml:space="preserve">Concept notes sent by any other means (e.g. by fax or by e-mail) or delivered to other addresses will be rejected. </w:t>
      </w:r>
    </w:p>
    <w:p w14:paraId="54233364" w14:textId="77777777" w:rsidR="005D0288" w:rsidRPr="00F624A2" w:rsidRDefault="005D0288" w:rsidP="005D0288">
      <w:r>
        <w:rPr>
          <w:b/>
          <w:u w:val="single"/>
        </w:rPr>
        <w:t>Please note that i</w:t>
      </w:r>
      <w:r w:rsidRPr="00F624A2">
        <w:rPr>
          <w:b/>
          <w:u w:val="single"/>
        </w:rPr>
        <w:t xml:space="preserve">ncomplete </w:t>
      </w:r>
      <w:r>
        <w:rPr>
          <w:b/>
          <w:u w:val="single"/>
        </w:rPr>
        <w:t>c</w:t>
      </w:r>
      <w:r w:rsidRPr="00F624A2">
        <w:rPr>
          <w:b/>
          <w:u w:val="single"/>
        </w:rPr>
        <w:t xml:space="preserve">oncept </w:t>
      </w:r>
      <w:r>
        <w:rPr>
          <w:b/>
          <w:u w:val="single"/>
        </w:rPr>
        <w:t>n</w:t>
      </w:r>
      <w:r w:rsidRPr="00F624A2">
        <w:rPr>
          <w:b/>
          <w:u w:val="single"/>
        </w:rPr>
        <w:t>otes may be rejected</w:t>
      </w:r>
      <w:r w:rsidRPr="00C0414D">
        <w:rPr>
          <w:b/>
        </w:rPr>
        <w:t>.</w:t>
      </w:r>
      <w:r w:rsidRPr="00C0414D">
        <w:t xml:space="preserve"> Lead </w:t>
      </w:r>
      <w:r>
        <w:t>a</w:t>
      </w:r>
      <w:r w:rsidRPr="00564F01">
        <w:t xml:space="preserve">pplicants </w:t>
      </w:r>
      <w:r>
        <w:t xml:space="preserve">are advised to </w:t>
      </w:r>
      <w:r w:rsidRPr="00564F01">
        <w:t xml:space="preserve">verify that their </w:t>
      </w:r>
      <w:r>
        <w:t>c</w:t>
      </w:r>
      <w:r w:rsidRPr="00564F01">
        <w:t xml:space="preserve">oncept </w:t>
      </w:r>
      <w:r>
        <w:t>n</w:t>
      </w:r>
      <w:r w:rsidRPr="00564F01">
        <w:t xml:space="preserve">ote is complete by using the </w:t>
      </w:r>
      <w:r>
        <w:t>c</w:t>
      </w:r>
      <w:r w:rsidRPr="00C0414D">
        <w:t>hecklist</w:t>
      </w:r>
      <w:r>
        <w:t xml:space="preserve"> f</w:t>
      </w:r>
      <w:r w:rsidRPr="00564F01">
        <w:t xml:space="preserve">or </w:t>
      </w:r>
      <w:r>
        <w:t>c</w:t>
      </w:r>
      <w:r w:rsidRPr="00564F01">
        <w:t xml:space="preserve">oncept </w:t>
      </w:r>
      <w:r>
        <w:t>n</w:t>
      </w:r>
      <w:r w:rsidRPr="00564F01">
        <w:t>ote (Annex A.1</w:t>
      </w:r>
      <w:r>
        <w:t>, Instructions</w:t>
      </w:r>
      <w:r w:rsidRPr="00564F01">
        <w:t>).</w:t>
      </w:r>
    </w:p>
    <w:p w14:paraId="4CD37337" w14:textId="77777777" w:rsidR="008B4806" w:rsidRPr="00FE05D4" w:rsidRDefault="008B4806" w:rsidP="007A0900">
      <w:pPr>
        <w:pStyle w:val="Guidelines3"/>
        <w:numPr>
          <w:ilvl w:val="2"/>
          <w:numId w:val="15"/>
        </w:numPr>
      </w:pPr>
      <w:bookmarkStart w:id="19" w:name="_Toc125454354"/>
      <w:bookmarkStart w:id="20" w:name="_Toc487024646"/>
      <w:r w:rsidRPr="00FE05D4">
        <w:t xml:space="preserve">Deadline for </w:t>
      </w:r>
      <w:r w:rsidR="005C3B40" w:rsidRPr="00FE05D4">
        <w:t xml:space="preserve">submission </w:t>
      </w:r>
      <w:r w:rsidRPr="00FE05D4">
        <w:t xml:space="preserve">of </w:t>
      </w:r>
      <w:r w:rsidR="00564F01">
        <w:t>c</w:t>
      </w:r>
      <w:r w:rsidRPr="00FE05D4">
        <w:t xml:space="preserve">oncept </w:t>
      </w:r>
      <w:r w:rsidR="00564F01">
        <w:t>n</w:t>
      </w:r>
      <w:r w:rsidRPr="00FE05D4">
        <w:t>otes</w:t>
      </w:r>
      <w:bookmarkEnd w:id="19"/>
      <w:bookmarkEnd w:id="20"/>
      <w:r w:rsidRPr="00FE05D4">
        <w:t xml:space="preserve"> </w:t>
      </w:r>
    </w:p>
    <w:p w14:paraId="645A8287" w14:textId="38D60293" w:rsidR="005D0288" w:rsidRDefault="005D0288" w:rsidP="005D0288">
      <w:pPr>
        <w:spacing w:before="240"/>
      </w:pPr>
      <w:bookmarkStart w:id="21" w:name="_Toc125454355"/>
      <w:r w:rsidRPr="00FE05D4">
        <w:t xml:space="preserve">The deadline for the submission of </w:t>
      </w:r>
      <w:r>
        <w:t>concept notes</w:t>
      </w:r>
      <w:r w:rsidRPr="00FE05D4">
        <w:t xml:space="preserve"> is</w:t>
      </w:r>
      <w:r w:rsidRPr="00C93603">
        <w:t xml:space="preserve"> </w:t>
      </w:r>
      <w:r w:rsidR="00F15FA3">
        <w:t xml:space="preserve">on the </w:t>
      </w:r>
      <w:r w:rsidR="00F15FA3" w:rsidRPr="00F15FA3">
        <w:rPr>
          <w:b/>
        </w:rPr>
        <w:t>09/11/2017</w:t>
      </w:r>
      <w:r w:rsidR="00F15FA3">
        <w:t xml:space="preserve"> </w:t>
      </w:r>
      <w:r w:rsidRPr="001C38A7">
        <w:rPr>
          <w:b/>
        </w:rPr>
        <w:t>at 16:00</w:t>
      </w:r>
      <w:r w:rsidRPr="00C93603">
        <w:t xml:space="preserve"> (Brussels date and time).  </w:t>
      </w:r>
      <w:r w:rsidRPr="0040468C">
        <w:rPr>
          <w:szCs w:val="32"/>
        </w:rPr>
        <w:t>In order to convert this deadline to local time you can use an</w:t>
      </w:r>
      <w:r>
        <w:rPr>
          <w:szCs w:val="32"/>
        </w:rPr>
        <w:t>y</w:t>
      </w:r>
      <w:r w:rsidRPr="0040468C">
        <w:rPr>
          <w:szCs w:val="32"/>
        </w:rPr>
        <w:t xml:space="preserve"> online time converter tool that takes into account </w:t>
      </w:r>
      <w:proofErr w:type="spellStart"/>
      <w:r w:rsidRPr="0040468C">
        <w:rPr>
          <w:szCs w:val="32"/>
        </w:rPr>
        <w:t>timezones</w:t>
      </w:r>
      <w:proofErr w:type="spellEnd"/>
      <w:r w:rsidRPr="0040468C">
        <w:rPr>
          <w:szCs w:val="32"/>
        </w:rPr>
        <w:t xml:space="preserve"> and winter/summer time changes </w:t>
      </w:r>
      <w:r>
        <w:rPr>
          <w:szCs w:val="32"/>
        </w:rPr>
        <w:t>(example available</w:t>
      </w:r>
      <w:r w:rsidRPr="005F491D">
        <w:rPr>
          <w:b/>
          <w:szCs w:val="32"/>
        </w:rPr>
        <w:t xml:space="preserve"> </w:t>
      </w:r>
      <w:r w:rsidRPr="0040468C">
        <w:rPr>
          <w:b/>
          <w:szCs w:val="32"/>
        </w:rPr>
        <w:t>here</w:t>
      </w:r>
      <w:r>
        <w:rPr>
          <w:b/>
          <w:szCs w:val="32"/>
        </w:rPr>
        <w:t>)</w:t>
      </w:r>
      <w:r>
        <w:rPr>
          <w:rStyle w:val="FootnoteReference"/>
          <w:b/>
          <w:szCs w:val="32"/>
        </w:rPr>
        <w:footnoteReference w:id="38"/>
      </w:r>
      <w:r>
        <w:rPr>
          <w:b/>
          <w:szCs w:val="32"/>
        </w:rPr>
        <w:t xml:space="preserve"> </w:t>
      </w:r>
      <w:r w:rsidRPr="0040468C">
        <w:rPr>
          <w:b/>
        </w:rPr>
        <w:t xml:space="preserve">The </w:t>
      </w:r>
      <w:r>
        <w:rPr>
          <w:b/>
        </w:rPr>
        <w:t>lead a</w:t>
      </w:r>
      <w:r w:rsidRPr="0040468C">
        <w:rPr>
          <w:b/>
        </w:rPr>
        <w:t>pplicant is strongly advised not to wait until the last day to submit</w:t>
      </w:r>
      <w:r w:rsidRPr="00FE05D4">
        <w:t xml:space="preserve"> </w:t>
      </w:r>
      <w:r>
        <w:t>its</w:t>
      </w:r>
      <w:r w:rsidRPr="00FE05D4">
        <w:t xml:space="preserve"> </w:t>
      </w:r>
      <w:r>
        <w:t>c</w:t>
      </w:r>
      <w:r w:rsidRPr="00FE05D4">
        <w:t xml:space="preserve">oncept </w:t>
      </w:r>
      <w:r>
        <w:t>n</w:t>
      </w:r>
      <w:r w:rsidRPr="00FE05D4">
        <w:t>ote, since heavy Internet traffic or a fault with the Internet connection (including electricity failure, etc.) could lead to difficulties in submission. The Cont</w:t>
      </w:r>
      <w:r w:rsidR="00FA546C">
        <w:t>r</w:t>
      </w:r>
      <w:r w:rsidRPr="00FE05D4">
        <w:t>acting Authority cannot be held responsible for any delay due to such afore-mentioned difficulties</w:t>
      </w:r>
      <w:r w:rsidRPr="00BA1231">
        <w:t>.</w:t>
      </w:r>
      <w:r>
        <w:t xml:space="preserve"> </w:t>
      </w:r>
    </w:p>
    <w:p w14:paraId="7F4E6548" w14:textId="77777777" w:rsidR="005D0288" w:rsidRDefault="005D0288" w:rsidP="005D0288">
      <w:pPr>
        <w:spacing w:before="240"/>
      </w:pPr>
      <w:r w:rsidRPr="00B8161E">
        <w:t>In the exceptional case of submission by post or by hand delivery (see section 2.2.2)</w:t>
      </w:r>
      <w:proofErr w:type="gramStart"/>
      <w:r w:rsidRPr="00B8161E">
        <w:t>,</w:t>
      </w:r>
      <w:proofErr w:type="gramEnd"/>
      <w:r w:rsidRPr="00B8161E">
        <w:t xml:space="preserve"> the date of submission is evidenced by the date of dispatch, the postmark or the date of the deposit slip. In the case of </w:t>
      </w:r>
      <w:r w:rsidRPr="00B8161E">
        <w:lastRenderedPageBreak/>
        <w:t>hand-deliveries, the deadline for receipt is at 16h00</w:t>
      </w:r>
      <w:r>
        <w:t xml:space="preserve"> local time</w:t>
      </w:r>
      <w:r w:rsidRPr="00B8161E">
        <w:t xml:space="preserve"> </w:t>
      </w:r>
      <w:r>
        <w:t>(Brussels)</w:t>
      </w:r>
      <w:r w:rsidRPr="00B8161E">
        <w:rPr>
          <w:rStyle w:val="FootnoteReference"/>
        </w:rPr>
        <w:footnoteReference w:id="39"/>
      </w:r>
      <w:r>
        <w:t xml:space="preserve"> </w:t>
      </w:r>
      <w:r w:rsidRPr="00B8161E">
        <w:t>as evidenced by the signed and dated receipt.</w:t>
      </w:r>
    </w:p>
    <w:p w14:paraId="7D907F1A" w14:textId="77777777" w:rsidR="005D0288" w:rsidRPr="00B8161E" w:rsidRDefault="005D0288" w:rsidP="005D0288">
      <w:pPr>
        <w:rPr>
          <w:b/>
        </w:rPr>
      </w:pPr>
      <w:r w:rsidRPr="00B8161E">
        <w:rPr>
          <w:b/>
        </w:rPr>
        <w:t>Any concept note submitted after the deadline will be rejected.</w:t>
      </w:r>
    </w:p>
    <w:p w14:paraId="2B6903B4" w14:textId="77777777" w:rsidR="005D0288" w:rsidRPr="00807DAF" w:rsidRDefault="005D0288" w:rsidP="005D0288">
      <w:r w:rsidRPr="00B8161E">
        <w:rPr>
          <w:rStyle w:val="Style11pt"/>
          <w:szCs w:val="22"/>
        </w:rPr>
        <w:t>However, for reasons of administrative efficiency, t</w:t>
      </w:r>
      <w:r w:rsidRPr="00B8161E">
        <w:rPr>
          <w:lang w:eastAsia="en-GB" w:bidi="kn-IN"/>
        </w:rPr>
        <w:t xml:space="preserve">he Contracting Authority </w:t>
      </w:r>
      <w:r w:rsidRPr="00B8161E">
        <w:rPr>
          <w:lang w:bidi="kn-IN"/>
        </w:rPr>
        <w:t>may</w:t>
      </w:r>
      <w:r w:rsidRPr="00B8161E">
        <w:rPr>
          <w:lang w:eastAsia="en-GB" w:bidi="kn-IN"/>
        </w:rPr>
        <w:t xml:space="preserve"> also reject any </w:t>
      </w:r>
      <w:r w:rsidRPr="00B8161E">
        <w:rPr>
          <w:lang w:bidi="kn-IN"/>
        </w:rPr>
        <w:t>concept note</w:t>
      </w:r>
      <w:r w:rsidRPr="00B8161E">
        <w:rPr>
          <w:lang w:eastAsia="en-GB" w:bidi="kn-IN"/>
        </w:rPr>
        <w:t xml:space="preserve"> sent in due time but received after the effective date of </w:t>
      </w:r>
      <w:r w:rsidRPr="00B8161E">
        <w:rPr>
          <w:lang w:bidi="kn-IN"/>
        </w:rPr>
        <w:t>approval</w:t>
      </w:r>
      <w:r w:rsidRPr="00B8161E">
        <w:rPr>
          <w:lang w:eastAsia="en-GB" w:bidi="kn-IN"/>
        </w:rPr>
        <w:t xml:space="preserve"> of the</w:t>
      </w:r>
      <w:r w:rsidRPr="00B8161E">
        <w:rPr>
          <w:lang w:bidi="kn-IN"/>
        </w:rPr>
        <w:t xml:space="preserve"> concept note evaluation (see indicative calendar under section 2.5.2).</w:t>
      </w:r>
    </w:p>
    <w:p w14:paraId="75B8AD7F" w14:textId="77777777" w:rsidR="008B4806" w:rsidRPr="00FE05D4" w:rsidRDefault="008B4806" w:rsidP="007A0900">
      <w:pPr>
        <w:pStyle w:val="Guidelines3"/>
        <w:numPr>
          <w:ilvl w:val="2"/>
          <w:numId w:val="15"/>
        </w:numPr>
      </w:pPr>
      <w:bookmarkStart w:id="22" w:name="_Toc487024647"/>
      <w:r w:rsidRPr="00FE05D4">
        <w:t>Further information</w:t>
      </w:r>
      <w:bookmarkEnd w:id="21"/>
      <w:r w:rsidR="00CF7BEF" w:rsidRPr="00FE05D4">
        <w:t xml:space="preserve"> </w:t>
      </w:r>
      <w:r w:rsidR="00E3173F" w:rsidRPr="00FE05D4">
        <w:t xml:space="preserve">about </w:t>
      </w:r>
      <w:r w:rsidR="00BC1CD4">
        <w:t>c</w:t>
      </w:r>
      <w:r w:rsidR="00CF7BEF" w:rsidRPr="00FE05D4">
        <w:t xml:space="preserve">oncept </w:t>
      </w:r>
      <w:r w:rsidR="00BC1CD4">
        <w:t>n</w:t>
      </w:r>
      <w:r w:rsidR="00CF7BEF" w:rsidRPr="00FE05D4">
        <w:t>ote</w:t>
      </w:r>
      <w:r w:rsidR="00CB6E77" w:rsidRPr="00FE05D4">
        <w:t>s</w:t>
      </w:r>
      <w:bookmarkEnd w:id="22"/>
    </w:p>
    <w:p w14:paraId="0F357D53" w14:textId="35FAE269" w:rsidR="008B4806" w:rsidRPr="00FE05D4" w:rsidRDefault="008B4806" w:rsidP="0068216F">
      <w:r w:rsidRPr="00FE05D4">
        <w:t xml:space="preserve">Questions may be sent by e-mail no later than 21 days before the deadline for the </w:t>
      </w:r>
      <w:r w:rsidR="00934768" w:rsidRPr="00FE05D4">
        <w:t>submission</w:t>
      </w:r>
      <w:r w:rsidRPr="00FE05D4">
        <w:t xml:space="preserve"> of </w:t>
      </w:r>
      <w:r w:rsidR="00BC1CD4">
        <w:t>c</w:t>
      </w:r>
      <w:r w:rsidRPr="00FE05D4">
        <w:t xml:space="preserve">oncept </w:t>
      </w:r>
      <w:r w:rsidR="00BC1CD4">
        <w:t>n</w:t>
      </w:r>
      <w:r w:rsidRPr="00FE05D4">
        <w:t>otes to the address(</w:t>
      </w:r>
      <w:proofErr w:type="spellStart"/>
      <w:r w:rsidRPr="00FE05D4">
        <w:t>es</w:t>
      </w:r>
      <w:proofErr w:type="spellEnd"/>
      <w:r w:rsidRPr="00FE05D4">
        <w:t>)</w:t>
      </w:r>
      <w:r w:rsidR="00023576" w:rsidRPr="00FE05D4">
        <w:t xml:space="preserve"> below</w:t>
      </w:r>
      <w:r w:rsidRPr="00FE05D4">
        <w:t xml:space="preserve">, indicating clearly the reference of the </w:t>
      </w:r>
      <w:r w:rsidR="00DB30A9">
        <w:t>c</w:t>
      </w:r>
      <w:r w:rsidR="001D0C7B" w:rsidRPr="00FE05D4">
        <w:t xml:space="preserve">all for </w:t>
      </w:r>
      <w:r w:rsidR="00DB30A9">
        <w:t>p</w:t>
      </w:r>
      <w:r w:rsidR="001D0C7B" w:rsidRPr="00FE05D4">
        <w:t>roposals</w:t>
      </w:r>
      <w:r w:rsidRPr="00FE05D4">
        <w:t>:</w:t>
      </w:r>
    </w:p>
    <w:p w14:paraId="521DD59C" w14:textId="5CCE5DD9" w:rsidR="005D0288" w:rsidRPr="00661DE7" w:rsidRDefault="005D0288" w:rsidP="005D0288">
      <w:pPr>
        <w:ind w:left="567"/>
        <w:rPr>
          <w:highlight w:val="yellow"/>
        </w:rPr>
      </w:pPr>
      <w:bookmarkStart w:id="23" w:name="_Toc125454356"/>
      <w:r w:rsidRPr="00661DE7">
        <w:t xml:space="preserve">E-mail address: </w:t>
      </w:r>
      <w:r w:rsidRPr="005D0288">
        <w:rPr>
          <w:b/>
          <w:noProof/>
          <w:szCs w:val="22"/>
        </w:rPr>
        <w:t>EuropeAid-155232@ec.europa.eu</w:t>
      </w:r>
    </w:p>
    <w:p w14:paraId="5D98AFBD" w14:textId="77777777" w:rsidR="005D0288" w:rsidRPr="00FE05D4" w:rsidRDefault="005D0288" w:rsidP="005D0288">
      <w:r w:rsidRPr="00FE05D4">
        <w:t>The Contracting Authority has no obligation to provide clarifications to questions received after this date.</w:t>
      </w:r>
    </w:p>
    <w:p w14:paraId="459ADF58" w14:textId="77777777" w:rsidR="005D0288" w:rsidRDefault="005D0288" w:rsidP="005D0288">
      <w:r w:rsidRPr="00FE05D4">
        <w:t xml:space="preserve">Replies will be given no later than 11 days before the deadline for submission of </w:t>
      </w:r>
      <w:r>
        <w:t>c</w:t>
      </w:r>
      <w:r w:rsidRPr="00FE05D4">
        <w:t xml:space="preserve">oncept </w:t>
      </w:r>
      <w:r>
        <w:t>n</w:t>
      </w:r>
      <w:r w:rsidRPr="00FE05D4">
        <w:t xml:space="preserve">otes. </w:t>
      </w:r>
    </w:p>
    <w:p w14:paraId="61770C35" w14:textId="77777777" w:rsidR="005D0288" w:rsidRPr="00FE05D4" w:rsidRDefault="005D0288" w:rsidP="005D0288">
      <w:r w:rsidRPr="00FE05D4">
        <w:t xml:space="preserve">To ensure equal treatment of applicants, the </w:t>
      </w:r>
      <w:r>
        <w:t>c</w:t>
      </w:r>
      <w:r w:rsidRPr="00FE05D4">
        <w:t xml:space="preserve">ontracting </w:t>
      </w:r>
      <w:r>
        <w:t>a</w:t>
      </w:r>
      <w:r w:rsidRPr="00FE05D4">
        <w:t xml:space="preserve">uthority cannot give a prior opinion on the eligibility of </w:t>
      </w:r>
      <w:r>
        <w:t>lead a</w:t>
      </w:r>
      <w:r w:rsidRPr="00FE05D4">
        <w:t xml:space="preserve">pplicants, </w:t>
      </w:r>
      <w:r>
        <w:t xml:space="preserve">co-applicants, </w:t>
      </w:r>
      <w:r w:rsidRPr="00FE05D4">
        <w:t xml:space="preserve">affiliated </w:t>
      </w:r>
      <w:proofErr w:type="gramStart"/>
      <w:r w:rsidRPr="00FE05D4">
        <w:t>entity(</w:t>
      </w:r>
      <w:proofErr w:type="spellStart"/>
      <w:proofErr w:type="gramEnd"/>
      <w:r w:rsidRPr="00FE05D4">
        <w:t>ies</w:t>
      </w:r>
      <w:proofErr w:type="spellEnd"/>
      <w:r w:rsidRPr="00FE05D4">
        <w:t>), an action or specific activities.</w:t>
      </w:r>
    </w:p>
    <w:p w14:paraId="2F1C33E8" w14:textId="77777777" w:rsidR="005D0288" w:rsidRPr="00A91CBA" w:rsidRDefault="005D0288" w:rsidP="005D0288">
      <w:r w:rsidRPr="00A91CBA">
        <w:t xml:space="preserve">No individual replies will be given to questions. All questions and answers as well as other important notices to applicants during the course of the evaluation procedure will be published on the </w:t>
      </w:r>
      <w:proofErr w:type="spellStart"/>
      <w:r w:rsidRPr="00A91CBA">
        <w:t>EuropeAid</w:t>
      </w:r>
      <w:proofErr w:type="spellEnd"/>
      <w:r w:rsidRPr="00A91CBA">
        <w:t xml:space="preserve"> website </w:t>
      </w:r>
      <w:hyperlink r:id="rId25" w:history="1">
        <w:r w:rsidRPr="00A91CBA">
          <w:rPr>
            <w:rStyle w:val="Hyperlink"/>
          </w:rPr>
          <w:t>https://webgate.ec.europa.eu/europeaid/online-services/index.cfm?do=publi.welcome</w:t>
        </w:r>
      </w:hyperlink>
      <w:r w:rsidRPr="00A91CBA">
        <w:t>, as appropriate. It is therefore advisable to consult the abovementioned website regularly in order to be informed of the questions and answers published.</w:t>
      </w:r>
    </w:p>
    <w:p w14:paraId="68001F46" w14:textId="077C30A9" w:rsidR="005D0288" w:rsidRDefault="005D0288" w:rsidP="005D0288">
      <w:r w:rsidRPr="00FE05D4">
        <w:t>All questions related to registration in PADOR or the online submission via PROSPECT should be addressed to the IT helpdesk at</w:t>
      </w:r>
      <w:r w:rsidRPr="00FE05D4">
        <w:rPr>
          <w:lang w:eastAsia="en-GB"/>
        </w:rPr>
        <w:t xml:space="preserve"> </w:t>
      </w:r>
      <w:hyperlink r:id="rId26" w:history="1">
        <w:r w:rsidRPr="00FE05D4">
          <w:rPr>
            <w:rStyle w:val="Hyperlink"/>
            <w:color w:val="002060"/>
            <w:szCs w:val="22"/>
          </w:rPr>
          <w:t>EuropeAid-IT-support@ec.europa.eu</w:t>
        </w:r>
      </w:hyperlink>
      <w:r>
        <w:t xml:space="preserve"> </w:t>
      </w:r>
      <w:r>
        <w:rPr>
          <w:b/>
        </w:rPr>
        <w:t>via the online support form in PROSPECT:</w:t>
      </w:r>
      <w:r>
        <w:t xml:space="preserve"> Please note that the working languages of the IT support are: English, French and Spanish. Therefore users are invited to send their questions in English, French or Spanish should they wish to benefit from an optimum response time.</w:t>
      </w:r>
    </w:p>
    <w:p w14:paraId="442CDD9E" w14:textId="77777777" w:rsidR="008B4806" w:rsidRPr="00FE05D4" w:rsidRDefault="00E64637" w:rsidP="007A0900">
      <w:pPr>
        <w:pStyle w:val="Guidelines3"/>
        <w:numPr>
          <w:ilvl w:val="2"/>
          <w:numId w:val="15"/>
        </w:numPr>
      </w:pPr>
      <w:bookmarkStart w:id="24" w:name="_Toc487024648"/>
      <w:r w:rsidRPr="00FE05D4">
        <w:t xml:space="preserve">Full </w:t>
      </w:r>
      <w:r w:rsidR="001D5ED0">
        <w:t>a</w:t>
      </w:r>
      <w:r w:rsidR="008B4806" w:rsidRPr="00FE05D4">
        <w:t>pplication</w:t>
      </w:r>
      <w:r w:rsidR="001D5ED0">
        <w:t>s</w:t>
      </w:r>
      <w:bookmarkEnd w:id="24"/>
      <w:r w:rsidR="008B4806" w:rsidRPr="00FE05D4">
        <w:t xml:space="preserve"> </w:t>
      </w:r>
      <w:bookmarkEnd w:id="23"/>
    </w:p>
    <w:p w14:paraId="083EBD49" w14:textId="77777777" w:rsidR="0029037C" w:rsidRDefault="00B738FE" w:rsidP="001D5ED0">
      <w:r>
        <w:t>Lead a</w:t>
      </w:r>
      <w:r w:rsidR="008B4806" w:rsidRPr="00FE05D4">
        <w:t>pplicant</w:t>
      </w:r>
      <w:r w:rsidR="00B22540">
        <w:t>s</w:t>
      </w:r>
      <w:r w:rsidR="008B4806" w:rsidRPr="00FE05D4">
        <w:t xml:space="preserve"> invited to submit a full application following </w:t>
      </w:r>
      <w:r w:rsidR="001A3322" w:rsidRPr="00FE05D4">
        <w:t xml:space="preserve">pre-selection of </w:t>
      </w:r>
      <w:r w:rsidR="001D5ED0">
        <w:t>their c</w:t>
      </w:r>
      <w:r w:rsidR="001A3322" w:rsidRPr="00FE05D4">
        <w:t>on</w:t>
      </w:r>
      <w:r w:rsidR="006E2FAE" w:rsidRPr="00FE05D4">
        <w:t>c</w:t>
      </w:r>
      <w:r w:rsidR="001A3322" w:rsidRPr="00FE05D4">
        <w:t xml:space="preserve">ept </w:t>
      </w:r>
      <w:r w:rsidR="001D5ED0">
        <w:t>n</w:t>
      </w:r>
      <w:r w:rsidR="001A3322" w:rsidRPr="00FE05D4">
        <w:t xml:space="preserve">ote </w:t>
      </w:r>
      <w:r w:rsidR="008B4806" w:rsidRPr="00FE05D4">
        <w:t xml:space="preserve">must do so using </w:t>
      </w:r>
      <w:r w:rsidR="001F2AFE">
        <w:t>the full</w:t>
      </w:r>
      <w:r w:rsidR="00227148" w:rsidRPr="00FE05D4">
        <w:t xml:space="preserve"> </w:t>
      </w:r>
      <w:r w:rsidR="008B4806" w:rsidRPr="00FE05D4">
        <w:t xml:space="preserve">application form annexed to these </w:t>
      </w:r>
      <w:r w:rsidR="00B22540">
        <w:t>g</w:t>
      </w:r>
      <w:r w:rsidR="008B4806" w:rsidRPr="00FE05D4">
        <w:t xml:space="preserve">uidelines (Annex </w:t>
      </w:r>
      <w:r w:rsidR="00227148" w:rsidRPr="00FE05D4">
        <w:t>A</w:t>
      </w:r>
      <w:r w:rsidR="001F2AFE">
        <w:t>.2</w:t>
      </w:r>
      <w:r w:rsidR="008B4806" w:rsidRPr="00FE05D4">
        <w:t xml:space="preserve">). </w:t>
      </w:r>
    </w:p>
    <w:p w14:paraId="69F0468D" w14:textId="77777777" w:rsidR="0088263F" w:rsidRPr="00FE05D4" w:rsidRDefault="001A61A0" w:rsidP="00145C8F">
      <w:pPr>
        <w:rPr>
          <w:color w:val="000000"/>
        </w:rPr>
      </w:pPr>
      <w:r w:rsidRPr="00FE05D4">
        <w:t xml:space="preserve">Applications must be submitted in accordance with the </w:t>
      </w:r>
      <w:r w:rsidR="001D5ED0">
        <w:t>f</w:t>
      </w:r>
      <w:r>
        <w:t xml:space="preserve">ull </w:t>
      </w:r>
      <w:r w:rsidR="001D5ED0">
        <w:t>a</w:t>
      </w:r>
      <w:r>
        <w:t>pplication</w:t>
      </w:r>
      <w:r w:rsidRPr="00FE05D4">
        <w:t xml:space="preserve"> instructions </w:t>
      </w:r>
      <w:r w:rsidR="001D5ED0">
        <w:t>at</w:t>
      </w:r>
      <w:r w:rsidRPr="00FE05D4">
        <w:t xml:space="preserve"> the </w:t>
      </w:r>
      <w:r w:rsidR="00B22540">
        <w:t>end of Annex A.2.</w:t>
      </w:r>
      <w:r w:rsidR="00145C8F">
        <w:t xml:space="preserve"> </w:t>
      </w:r>
      <w:r w:rsidR="00B738FE">
        <w:rPr>
          <w:color w:val="000000"/>
        </w:rPr>
        <w:t>Lead a</w:t>
      </w:r>
      <w:r w:rsidR="0088263F" w:rsidRPr="00FE05D4">
        <w:rPr>
          <w:color w:val="000000"/>
        </w:rPr>
        <w:t xml:space="preserve">pplicants must submit their full applications in the same language as their </w:t>
      </w:r>
      <w:r w:rsidR="001D5ED0">
        <w:rPr>
          <w:color w:val="000000"/>
        </w:rPr>
        <w:t>c</w:t>
      </w:r>
      <w:r w:rsidR="0088263F" w:rsidRPr="00FE05D4">
        <w:rPr>
          <w:color w:val="000000"/>
        </w:rPr>
        <w:t xml:space="preserve">oncept </w:t>
      </w:r>
      <w:r w:rsidR="001D5ED0">
        <w:rPr>
          <w:color w:val="000000"/>
        </w:rPr>
        <w:t>n</w:t>
      </w:r>
      <w:r w:rsidR="0088263F" w:rsidRPr="00FE05D4">
        <w:rPr>
          <w:color w:val="000000"/>
        </w:rPr>
        <w:t>otes.</w:t>
      </w:r>
      <w:r w:rsidR="0029037C" w:rsidRPr="0029037C">
        <w:t xml:space="preserve"> </w:t>
      </w:r>
    </w:p>
    <w:p w14:paraId="41CF6F6E" w14:textId="77777777" w:rsidR="00DA07FB" w:rsidRDefault="00DA07FB" w:rsidP="00DA07FB">
      <w:pPr>
        <w:rPr>
          <w:szCs w:val="22"/>
          <w:lang w:eastAsia="en-GB"/>
        </w:rPr>
      </w:pPr>
      <w:r w:rsidRPr="00FE05D4">
        <w:rPr>
          <w:szCs w:val="22"/>
          <w:lang w:eastAsia="en-GB"/>
        </w:rPr>
        <w:t>Please note that</w:t>
      </w:r>
      <w:r>
        <w:rPr>
          <w:szCs w:val="22"/>
          <w:lang w:eastAsia="en-GB"/>
        </w:rPr>
        <w:t>:</w:t>
      </w:r>
    </w:p>
    <w:p w14:paraId="4DF2B17E" w14:textId="77777777" w:rsidR="008B4806" w:rsidRPr="00D95814" w:rsidRDefault="00DA07FB" w:rsidP="00DA07FB">
      <w:pPr>
        <w:ind w:left="426"/>
        <w:rPr>
          <w:color w:val="000000"/>
        </w:rPr>
      </w:pPr>
      <w:r w:rsidRPr="00D95814">
        <w:rPr>
          <w:color w:val="000000"/>
        </w:rPr>
        <w:t xml:space="preserve">1. </w:t>
      </w:r>
      <w:r w:rsidR="008B4806" w:rsidRPr="00D95814">
        <w:rPr>
          <w:color w:val="000000"/>
        </w:rPr>
        <w:t xml:space="preserve">The elements </w:t>
      </w:r>
      <w:r w:rsidR="005649CD" w:rsidRPr="005A5E73">
        <w:rPr>
          <w:color w:val="000000"/>
        </w:rPr>
        <w:t>outlined in</w:t>
      </w:r>
      <w:r w:rsidR="008A5CD8" w:rsidRPr="005A5E73">
        <w:rPr>
          <w:color w:val="000000"/>
        </w:rPr>
        <w:t xml:space="preserve"> the</w:t>
      </w:r>
      <w:r w:rsidR="008B4806" w:rsidRPr="002D73BA">
        <w:rPr>
          <w:color w:val="000000"/>
        </w:rPr>
        <w:t xml:space="preserve"> </w:t>
      </w:r>
      <w:r w:rsidR="00BC1CD4" w:rsidRPr="0098408E">
        <w:rPr>
          <w:color w:val="000000"/>
        </w:rPr>
        <w:t>c</w:t>
      </w:r>
      <w:r w:rsidR="008B4806" w:rsidRPr="0098408E">
        <w:rPr>
          <w:color w:val="000000"/>
        </w:rPr>
        <w:t xml:space="preserve">oncept </w:t>
      </w:r>
      <w:r w:rsidR="00BC1CD4" w:rsidRPr="0098408E">
        <w:rPr>
          <w:color w:val="000000"/>
        </w:rPr>
        <w:t>n</w:t>
      </w:r>
      <w:r w:rsidR="008B4806" w:rsidRPr="00873C1D">
        <w:rPr>
          <w:color w:val="000000"/>
        </w:rPr>
        <w:t xml:space="preserve">ote cannot be modified </w:t>
      </w:r>
      <w:r w:rsidR="008A5CD8" w:rsidRPr="00AF6397">
        <w:rPr>
          <w:color w:val="000000"/>
        </w:rPr>
        <w:t xml:space="preserve">by the </w:t>
      </w:r>
      <w:r w:rsidR="00B738FE" w:rsidRPr="0052141A">
        <w:rPr>
          <w:color w:val="000000"/>
        </w:rPr>
        <w:t>lead a</w:t>
      </w:r>
      <w:r w:rsidR="008A5CD8" w:rsidRPr="00085111">
        <w:rPr>
          <w:color w:val="000000"/>
        </w:rPr>
        <w:t xml:space="preserve">pplicant </w:t>
      </w:r>
      <w:r w:rsidR="008B4806" w:rsidRPr="00085111">
        <w:rPr>
          <w:color w:val="000000"/>
        </w:rPr>
        <w:t>in the full application form.</w:t>
      </w:r>
      <w:r w:rsidR="003956DF" w:rsidRPr="009E4601">
        <w:rPr>
          <w:b/>
          <w:color w:val="000000"/>
        </w:rPr>
        <w:t xml:space="preserve"> </w:t>
      </w:r>
      <w:r w:rsidR="003956DF" w:rsidRPr="00222C04">
        <w:t xml:space="preserve">The </w:t>
      </w:r>
      <w:r w:rsidR="00030E42" w:rsidRPr="00222C04">
        <w:t xml:space="preserve">EU contribution </w:t>
      </w:r>
      <w:r w:rsidR="003956DF" w:rsidRPr="00222C04">
        <w:t>may not vary from the initial estimate by more than 20</w:t>
      </w:r>
      <w:r w:rsidR="00A016F9" w:rsidRPr="00AE11A8">
        <w:rPr>
          <w:w w:val="50"/>
        </w:rPr>
        <w:t> </w:t>
      </w:r>
      <w:r w:rsidR="003956DF" w:rsidRPr="00AE11A8">
        <w:t xml:space="preserve">%, </w:t>
      </w:r>
      <w:r w:rsidR="005649CD" w:rsidRPr="00AE11A8">
        <w:t xml:space="preserve">although </w:t>
      </w:r>
      <w:r w:rsidR="00B738FE" w:rsidRPr="00AE11A8">
        <w:t>lead a</w:t>
      </w:r>
      <w:r w:rsidR="003956DF" w:rsidRPr="00AE11A8">
        <w:t>pplicant</w:t>
      </w:r>
      <w:r w:rsidR="009901E5" w:rsidRPr="00AE11A8">
        <w:t xml:space="preserve">s are </w:t>
      </w:r>
      <w:r w:rsidR="003956DF" w:rsidRPr="0035236C">
        <w:t xml:space="preserve">free to adapt the percentage of co-financing required </w:t>
      </w:r>
      <w:r w:rsidR="006B5799" w:rsidRPr="00863E53">
        <w:t>within</w:t>
      </w:r>
      <w:r w:rsidR="003956DF" w:rsidRPr="00863E53">
        <w:t xml:space="preserve"> the minimum and maximum amount</w:t>
      </w:r>
      <w:r w:rsidR="006B5799" w:rsidRPr="00CA7306">
        <w:t xml:space="preserve"> and percentages</w:t>
      </w:r>
      <w:r w:rsidR="003956DF" w:rsidRPr="008E3B3F">
        <w:t xml:space="preserve"> of co-financing, as laid down in th</w:t>
      </w:r>
      <w:r w:rsidR="006B5799" w:rsidRPr="003249AD">
        <w:t xml:space="preserve">ese </w:t>
      </w:r>
      <w:r w:rsidR="00B738FE" w:rsidRPr="003249AD">
        <w:t>g</w:t>
      </w:r>
      <w:r w:rsidR="006B5799" w:rsidRPr="00395C96">
        <w:t>uidelines under section 1.</w:t>
      </w:r>
      <w:r w:rsidR="00896ECA" w:rsidRPr="00395C96">
        <w:t>3</w:t>
      </w:r>
      <w:r w:rsidR="003956DF" w:rsidRPr="00395C96">
        <w:t>.</w:t>
      </w:r>
      <w:r w:rsidR="00D95814" w:rsidRPr="00395C96">
        <w:t xml:space="preserve"> </w:t>
      </w:r>
      <w:r w:rsidR="00D95814" w:rsidRPr="00AE11A8">
        <w:rPr>
          <w:iCs/>
          <w:color w:val="1F497D"/>
          <w:u w:val="single"/>
        </w:rPr>
        <w:t>The lead applicant may replace a co-applicant or an affiliated entity only in duly justified cases (e.g. bankruptcy of initial co-applicant or affiliated entity). In this case the new co-</w:t>
      </w:r>
      <w:r w:rsidR="00D95814" w:rsidRPr="00AE11A8">
        <w:rPr>
          <w:iCs/>
          <w:color w:val="1F497D"/>
          <w:u w:val="single"/>
        </w:rPr>
        <w:lastRenderedPageBreak/>
        <w:t>applicant/affiliated entity must be of a similar nature as the initial one. The lead applicant may adjust the duration of the action if unforeseen circumstances outside the scope of the applicants have taken place following the submission of the concept note and require such adaptation (risk of action not being carried out).</w:t>
      </w:r>
      <w:r w:rsidR="0065356B">
        <w:rPr>
          <w:iCs/>
          <w:color w:val="1F497D"/>
          <w:u w:val="single"/>
        </w:rPr>
        <w:t xml:space="preserve"> An explanation/justification of the relevant replacement/adjustment shall be included in </w:t>
      </w:r>
      <w:r w:rsidR="003701FE">
        <w:rPr>
          <w:iCs/>
          <w:color w:val="1F497D"/>
          <w:u w:val="single"/>
        </w:rPr>
        <w:t>section 2.1.1 of the grant application form</w:t>
      </w:r>
      <w:r w:rsidR="0065356B">
        <w:rPr>
          <w:iCs/>
          <w:color w:val="1F497D"/>
          <w:u w:val="single"/>
        </w:rPr>
        <w:t>.</w:t>
      </w:r>
    </w:p>
    <w:p w14:paraId="72900324" w14:textId="77777777" w:rsidR="0086420D" w:rsidRDefault="00DA07FB" w:rsidP="00DA07FB">
      <w:pPr>
        <w:ind w:left="426"/>
        <w:rPr>
          <w:szCs w:val="22"/>
          <w:lang w:eastAsia="en-GB"/>
        </w:rPr>
      </w:pPr>
      <w:r>
        <w:rPr>
          <w:szCs w:val="22"/>
          <w:lang w:eastAsia="en-GB"/>
        </w:rPr>
        <w:t>2</w:t>
      </w:r>
      <w:r w:rsidR="0086420D">
        <w:rPr>
          <w:szCs w:val="22"/>
          <w:lang w:eastAsia="en-GB"/>
        </w:rPr>
        <w:t xml:space="preserve">. </w:t>
      </w:r>
      <w:r w:rsidR="0086420D" w:rsidRPr="0086420D">
        <w:rPr>
          <w:szCs w:val="22"/>
          <w:lang w:eastAsia="en-GB"/>
        </w:rPr>
        <w:t xml:space="preserve">A copy of the </w:t>
      </w:r>
      <w:r w:rsidR="00B738FE">
        <w:rPr>
          <w:szCs w:val="22"/>
          <w:lang w:eastAsia="en-GB"/>
        </w:rPr>
        <w:t>lead a</w:t>
      </w:r>
      <w:r w:rsidR="0086420D" w:rsidRPr="0086420D">
        <w:rPr>
          <w:szCs w:val="22"/>
          <w:lang w:eastAsia="en-GB"/>
        </w:rPr>
        <w:t>pplicant’s accounts of the latest financial year (the profit and loss account and the balance sheet for the last financial year for which the accounts have been closed)</w:t>
      </w:r>
      <w:r w:rsidR="00017D0C">
        <w:rPr>
          <w:szCs w:val="22"/>
          <w:lang w:eastAsia="en-GB"/>
        </w:rPr>
        <w:t xml:space="preserve"> must be uploaded in PADOR by the full application deadline</w:t>
      </w:r>
      <w:r w:rsidR="0086420D" w:rsidRPr="0086420D">
        <w:rPr>
          <w:szCs w:val="22"/>
          <w:lang w:eastAsia="en-GB"/>
        </w:rPr>
        <w:t xml:space="preserve">. A copy of the latest account is neither required from (if any) the co-applicant(s) nor from (if any) affiliated </w:t>
      </w:r>
      <w:proofErr w:type="gramStart"/>
      <w:r w:rsidR="0086420D" w:rsidRPr="0086420D">
        <w:rPr>
          <w:szCs w:val="22"/>
          <w:lang w:eastAsia="en-GB"/>
        </w:rPr>
        <w:t>entity(</w:t>
      </w:r>
      <w:proofErr w:type="spellStart"/>
      <w:proofErr w:type="gramEnd"/>
      <w:r w:rsidR="0086420D" w:rsidRPr="0086420D">
        <w:rPr>
          <w:szCs w:val="22"/>
          <w:lang w:eastAsia="en-GB"/>
        </w:rPr>
        <w:t>ies</w:t>
      </w:r>
      <w:proofErr w:type="spellEnd"/>
      <w:r w:rsidR="0086420D" w:rsidRPr="0086420D">
        <w:rPr>
          <w:szCs w:val="22"/>
          <w:lang w:eastAsia="en-GB"/>
        </w:rPr>
        <w:t>)).</w:t>
      </w:r>
    </w:p>
    <w:p w14:paraId="19D56A27" w14:textId="77777777" w:rsidR="003956DF" w:rsidRDefault="0015395B" w:rsidP="00DA07FB">
      <w:pPr>
        <w:ind w:left="426"/>
        <w:rPr>
          <w:b/>
          <w:szCs w:val="22"/>
          <w:lang w:eastAsia="en-GB"/>
        </w:rPr>
      </w:pPr>
      <w:r>
        <w:rPr>
          <w:szCs w:val="22"/>
          <w:lang w:eastAsia="en-GB"/>
        </w:rPr>
        <w:t>3</w:t>
      </w:r>
      <w:r w:rsidR="0086420D">
        <w:rPr>
          <w:szCs w:val="22"/>
          <w:lang w:eastAsia="en-GB"/>
        </w:rPr>
        <w:t xml:space="preserve">. </w:t>
      </w:r>
      <w:r w:rsidR="003956DF" w:rsidRPr="00FE05D4">
        <w:rPr>
          <w:szCs w:val="22"/>
          <w:lang w:eastAsia="en-GB"/>
        </w:rPr>
        <w:t xml:space="preserve"> </w:t>
      </w:r>
      <w:r w:rsidR="0088263F">
        <w:rPr>
          <w:szCs w:val="22"/>
          <w:lang w:eastAsia="en-GB"/>
        </w:rPr>
        <w:t>O</w:t>
      </w:r>
      <w:r w:rsidR="003956DF" w:rsidRPr="00FE05D4">
        <w:rPr>
          <w:szCs w:val="22"/>
          <w:lang w:eastAsia="en-GB"/>
        </w:rPr>
        <w:t xml:space="preserve">nly the </w:t>
      </w:r>
      <w:r w:rsidR="00227148" w:rsidRPr="00FE05D4">
        <w:rPr>
          <w:szCs w:val="22"/>
          <w:lang w:eastAsia="en-GB"/>
        </w:rPr>
        <w:t xml:space="preserve">full </w:t>
      </w:r>
      <w:r w:rsidR="003956DF" w:rsidRPr="00FE05D4">
        <w:rPr>
          <w:szCs w:val="22"/>
          <w:lang w:eastAsia="en-GB"/>
        </w:rPr>
        <w:t xml:space="preserve">application form and the published annexes which have to be filled in (budget, logical framework) will be transmitted to the evaluators </w:t>
      </w:r>
      <w:r w:rsidR="008B1EA7" w:rsidRPr="00FE05D4">
        <w:rPr>
          <w:szCs w:val="22"/>
          <w:lang w:eastAsia="en-GB"/>
        </w:rPr>
        <w:t>(</w:t>
      </w:r>
      <w:r w:rsidR="003956DF" w:rsidRPr="00FE05D4">
        <w:rPr>
          <w:szCs w:val="22"/>
          <w:lang w:eastAsia="en-GB"/>
        </w:rPr>
        <w:t>and assessors</w:t>
      </w:r>
      <w:r w:rsidR="008B1EA7" w:rsidRPr="00FE05D4">
        <w:rPr>
          <w:szCs w:val="22"/>
          <w:lang w:eastAsia="en-GB"/>
        </w:rPr>
        <w:t>, if used)</w:t>
      </w:r>
      <w:r w:rsidR="003956DF" w:rsidRPr="00FE05D4">
        <w:rPr>
          <w:szCs w:val="22"/>
          <w:lang w:eastAsia="en-GB"/>
        </w:rPr>
        <w:t xml:space="preserve">. It is therefore of utmost importance that these documents contain </w:t>
      </w:r>
      <w:r w:rsidR="003956DF" w:rsidRPr="001D5ED0">
        <w:rPr>
          <w:b/>
          <w:szCs w:val="22"/>
          <w:lang w:eastAsia="en-GB"/>
        </w:rPr>
        <w:t>ALL</w:t>
      </w:r>
      <w:r w:rsidR="00565ECD" w:rsidRPr="001D5ED0">
        <w:rPr>
          <w:b/>
          <w:szCs w:val="22"/>
          <w:lang w:eastAsia="en-GB"/>
        </w:rPr>
        <w:t xml:space="preserve"> </w:t>
      </w:r>
      <w:r w:rsidR="0040484C" w:rsidRPr="001D5ED0">
        <w:rPr>
          <w:b/>
          <w:szCs w:val="22"/>
          <w:lang w:eastAsia="en-GB"/>
        </w:rPr>
        <w:t xml:space="preserve">the </w:t>
      </w:r>
      <w:r w:rsidR="003956DF" w:rsidRPr="001D5ED0">
        <w:rPr>
          <w:b/>
          <w:szCs w:val="22"/>
          <w:lang w:eastAsia="en-GB"/>
        </w:rPr>
        <w:t>relevant information</w:t>
      </w:r>
      <w:r w:rsidR="003956DF" w:rsidRPr="00FE05D4">
        <w:rPr>
          <w:szCs w:val="22"/>
          <w:lang w:eastAsia="en-GB"/>
        </w:rPr>
        <w:t xml:space="preserve"> concerning the action.</w:t>
      </w:r>
      <w:r w:rsidR="003956DF" w:rsidRPr="00FE05D4">
        <w:rPr>
          <w:b/>
          <w:szCs w:val="22"/>
          <w:lang w:eastAsia="en-GB"/>
        </w:rPr>
        <w:t xml:space="preserve"> No </w:t>
      </w:r>
      <w:r w:rsidR="00565ECD">
        <w:rPr>
          <w:b/>
          <w:szCs w:val="22"/>
          <w:lang w:eastAsia="en-GB"/>
        </w:rPr>
        <w:t>additional</w:t>
      </w:r>
      <w:r w:rsidR="00565ECD" w:rsidRPr="00FE05D4">
        <w:rPr>
          <w:b/>
          <w:szCs w:val="22"/>
          <w:lang w:eastAsia="en-GB"/>
        </w:rPr>
        <w:t xml:space="preserve"> </w:t>
      </w:r>
      <w:r w:rsidR="003956DF" w:rsidRPr="00FE05D4">
        <w:rPr>
          <w:b/>
          <w:szCs w:val="22"/>
          <w:lang w:eastAsia="en-GB"/>
        </w:rPr>
        <w:t>annexes should be sent.</w:t>
      </w:r>
    </w:p>
    <w:p w14:paraId="2B560734" w14:textId="77777777" w:rsidR="00DA07FB" w:rsidRPr="00FE05D4" w:rsidRDefault="00DA07FB" w:rsidP="00DA07FB">
      <w:pPr>
        <w:rPr>
          <w:color w:val="000000"/>
        </w:rPr>
      </w:pPr>
      <w:r w:rsidRPr="00FE05D4">
        <w:rPr>
          <w:color w:val="000000"/>
        </w:rPr>
        <w:t xml:space="preserve">Any error or any major inconsistency </w:t>
      </w:r>
      <w:r w:rsidR="00CE461B">
        <w:rPr>
          <w:color w:val="000000"/>
        </w:rPr>
        <w:t xml:space="preserve">related to the full application </w:t>
      </w:r>
      <w:proofErr w:type="gramStart"/>
      <w:r w:rsidR="00CE461B">
        <w:rPr>
          <w:color w:val="000000"/>
        </w:rPr>
        <w:t xml:space="preserve">instructions  </w:t>
      </w:r>
      <w:r w:rsidRPr="00FE05D4">
        <w:rPr>
          <w:color w:val="000000"/>
        </w:rPr>
        <w:t>(</w:t>
      </w:r>
      <w:proofErr w:type="gramEnd"/>
      <w:r w:rsidRPr="00FE05D4">
        <w:rPr>
          <w:color w:val="000000"/>
        </w:rPr>
        <w:t>e.g. if the amounts in the budget worksheets are inconsistent) may lead to the rejection of the application.</w:t>
      </w:r>
    </w:p>
    <w:p w14:paraId="1E5F0FBD" w14:textId="77777777" w:rsidR="001A61A0" w:rsidRPr="001D5ED0" w:rsidRDefault="001A61A0" w:rsidP="00203ABF">
      <w:r w:rsidRPr="00FE05D4">
        <w:t xml:space="preserve">Clarifications will only be requested when information provided is unclear and thus prevents the </w:t>
      </w:r>
      <w:r w:rsidR="001D5ED0">
        <w:t xml:space="preserve">Contracting Authority </w:t>
      </w:r>
      <w:r w:rsidRPr="00FE05D4">
        <w:t>from conducting an objective assessment.</w:t>
      </w:r>
    </w:p>
    <w:p w14:paraId="3FEB81D4" w14:textId="77777777" w:rsidR="00576101" w:rsidRPr="00423CB3" w:rsidRDefault="008B4806" w:rsidP="007A0900">
      <w:pPr>
        <w:pStyle w:val="Guidelines3"/>
        <w:numPr>
          <w:ilvl w:val="2"/>
          <w:numId w:val="15"/>
        </w:numPr>
      </w:pPr>
      <w:bookmarkStart w:id="25" w:name="_Toc487024649"/>
      <w:bookmarkStart w:id="26" w:name="_Toc125454357"/>
      <w:r w:rsidRPr="00FE05D4">
        <w:t xml:space="preserve">Where and how to send </w:t>
      </w:r>
      <w:r w:rsidR="001D5ED0">
        <w:t>f</w:t>
      </w:r>
      <w:r w:rsidRPr="00FE05D4">
        <w:t xml:space="preserve">ull </w:t>
      </w:r>
      <w:r w:rsidR="001D5ED0">
        <w:t>a</w:t>
      </w:r>
      <w:r w:rsidRPr="00FE05D4">
        <w:t>pplication</w:t>
      </w:r>
      <w:r w:rsidR="001D5ED0">
        <w:t>s</w:t>
      </w:r>
      <w:bookmarkEnd w:id="25"/>
      <w:r w:rsidRPr="00FE05D4">
        <w:t xml:space="preserve"> </w:t>
      </w:r>
      <w:bookmarkEnd w:id="26"/>
    </w:p>
    <w:p w14:paraId="48E07662" w14:textId="77777777" w:rsidR="000F7EF5" w:rsidRPr="00423CB3" w:rsidRDefault="00E17B84" w:rsidP="001A1DC9">
      <w:pPr>
        <w:spacing w:before="240"/>
      </w:pPr>
      <w:r w:rsidRPr="00FE05D4">
        <w:t xml:space="preserve">Full </w:t>
      </w:r>
      <w:r w:rsidR="00B738FE">
        <w:t>a</w:t>
      </w:r>
      <w:r w:rsidR="000F7EF5" w:rsidRPr="00FE05D4">
        <w:t>pplication</w:t>
      </w:r>
      <w:r w:rsidR="00920C81">
        <w:t xml:space="preserve"> forms</w:t>
      </w:r>
      <w:r w:rsidR="000F7EF5" w:rsidRPr="00FE05D4">
        <w:t xml:space="preserve"> </w:t>
      </w:r>
      <w:r w:rsidR="00E75D57">
        <w:t xml:space="preserve">together with the </w:t>
      </w:r>
      <w:r w:rsidR="00B738FE">
        <w:t>b</w:t>
      </w:r>
      <w:r w:rsidR="00E75D57">
        <w:t xml:space="preserve">udget, the </w:t>
      </w:r>
      <w:r w:rsidR="00B738FE">
        <w:t>l</w:t>
      </w:r>
      <w:r w:rsidR="00E75D57">
        <w:t xml:space="preserve">ogical </w:t>
      </w:r>
      <w:r w:rsidR="00B738FE">
        <w:t>f</w:t>
      </w:r>
      <w:r w:rsidR="00E75D57">
        <w:t xml:space="preserve">ramework and the </w:t>
      </w:r>
      <w:r w:rsidR="001D5ED0">
        <w:t>d</w:t>
      </w:r>
      <w:r w:rsidR="00E75D57">
        <w:t xml:space="preserve">eclaration by the </w:t>
      </w:r>
      <w:r w:rsidR="00B738FE">
        <w:t>lead a</w:t>
      </w:r>
      <w:r w:rsidR="00E75D57">
        <w:t>ppli</w:t>
      </w:r>
      <w:r w:rsidR="00C15CA9">
        <w:t>cant</w:t>
      </w:r>
      <w:r w:rsidR="00E75D57">
        <w:t xml:space="preserve"> </w:t>
      </w:r>
      <w:r w:rsidR="00C15CA9">
        <w:t>must</w:t>
      </w:r>
      <w:r w:rsidR="00920C81" w:rsidRPr="00FE05D4">
        <w:t xml:space="preserve"> </w:t>
      </w:r>
      <w:r w:rsidR="000F7EF5" w:rsidRPr="00FE05D4">
        <w:t xml:space="preserve">be submitted online via PROSPECT </w:t>
      </w:r>
      <w:hyperlink r:id="rId27" w:history="1">
        <w:r w:rsidR="001A1DC9" w:rsidRPr="00FE05D4">
          <w:rPr>
            <w:rStyle w:val="Hyperlink"/>
          </w:rPr>
          <w:t xml:space="preserve">https://webgate.ec.europa.eu/ </w:t>
        </w:r>
        <w:proofErr w:type="spellStart"/>
        <w:r w:rsidR="001A1DC9" w:rsidRPr="00FE05D4">
          <w:rPr>
            <w:rStyle w:val="Hyperlink"/>
          </w:rPr>
          <w:t>europeaid</w:t>
        </w:r>
        <w:proofErr w:type="spellEnd"/>
        <w:r w:rsidR="001A1DC9" w:rsidRPr="00FE05D4">
          <w:rPr>
            <w:rStyle w:val="Hyperlink"/>
          </w:rPr>
          <w:t>/prospect</w:t>
        </w:r>
      </w:hyperlink>
      <w:r w:rsidR="001A1DC9" w:rsidRPr="00FE05D4">
        <w:t xml:space="preserve"> </w:t>
      </w:r>
      <w:r w:rsidR="000F7EF5" w:rsidRPr="00FE05D4">
        <w:t>following the instructions given in the users</w:t>
      </w:r>
      <w:r w:rsidR="000F7EF5" w:rsidRPr="00D52530">
        <w:t>’</w:t>
      </w:r>
      <w:r w:rsidR="000F7EF5" w:rsidRPr="00FE05D4">
        <w:t xml:space="preserve"> manual</w:t>
      </w:r>
      <w:r w:rsidR="002C4179">
        <w:t>.</w:t>
      </w:r>
    </w:p>
    <w:p w14:paraId="662A7BAB" w14:textId="77777777" w:rsidR="000F7EF5" w:rsidRDefault="00E17B84" w:rsidP="000F7EF5">
      <w:pPr>
        <w:spacing w:before="240"/>
      </w:pPr>
      <w:r w:rsidRPr="00FE05D4">
        <w:t xml:space="preserve">Upon submission of the </w:t>
      </w:r>
      <w:r w:rsidR="001D5ED0">
        <w:t>f</w:t>
      </w:r>
      <w:r w:rsidRPr="00FE05D4">
        <w:t xml:space="preserve">ull </w:t>
      </w:r>
      <w:r w:rsidR="001D5ED0">
        <w:t>a</w:t>
      </w:r>
      <w:r w:rsidRPr="00FE05D4">
        <w:t xml:space="preserve">pplication </w:t>
      </w:r>
      <w:r w:rsidR="000F7EF5" w:rsidRPr="00FE05D4">
        <w:t xml:space="preserve">online, </w:t>
      </w:r>
      <w:r w:rsidR="002C4179">
        <w:t xml:space="preserve">the </w:t>
      </w:r>
      <w:r w:rsidR="00B738FE">
        <w:t>lead a</w:t>
      </w:r>
      <w:r w:rsidR="00B75B73" w:rsidRPr="00FE05D4">
        <w:t>pplicants</w:t>
      </w:r>
      <w:r w:rsidR="000F7EF5" w:rsidRPr="00FE05D4">
        <w:t xml:space="preserve"> will receive an automatic confirmation of receipt in their PROSPECT profile.</w:t>
      </w:r>
      <w:r w:rsidR="000F7EF5">
        <w:t xml:space="preserve"> </w:t>
      </w:r>
    </w:p>
    <w:p w14:paraId="0C10E014" w14:textId="26EEC359" w:rsidR="00A020D5" w:rsidRPr="00A67141" w:rsidRDefault="00A020D5" w:rsidP="000F7EF5">
      <w:pPr>
        <w:spacing w:before="240"/>
      </w:pPr>
      <w:r w:rsidRPr="00A67141">
        <w:t xml:space="preserve">(a) </w:t>
      </w:r>
      <w:r w:rsidR="000F7EF5" w:rsidRPr="00A67141">
        <w:t xml:space="preserve">If </w:t>
      </w:r>
      <w:r w:rsidR="00B75B73" w:rsidRPr="00A67141">
        <w:t>the</w:t>
      </w:r>
      <w:r w:rsidR="00D07C8C" w:rsidRPr="00A67141">
        <w:t xml:space="preserve"> </w:t>
      </w:r>
      <w:r w:rsidR="00B738FE" w:rsidRPr="00A67141">
        <w:t>lead a</w:t>
      </w:r>
      <w:r w:rsidR="00B75B73" w:rsidRPr="00A67141">
        <w:t xml:space="preserve">pplicant submitted the </w:t>
      </w:r>
      <w:r w:rsidR="001D5ED0" w:rsidRPr="00A67141">
        <w:t>c</w:t>
      </w:r>
      <w:r w:rsidR="00E17B84" w:rsidRPr="00A67141">
        <w:t xml:space="preserve">oncept </w:t>
      </w:r>
      <w:r w:rsidR="001D5ED0" w:rsidRPr="00A67141">
        <w:t>n</w:t>
      </w:r>
      <w:r w:rsidR="00E17B84" w:rsidRPr="00A67141">
        <w:t xml:space="preserve">ote </w:t>
      </w:r>
      <w:r w:rsidR="00D41D87" w:rsidRPr="00A67141">
        <w:t xml:space="preserve">by post </w:t>
      </w:r>
      <w:r w:rsidRPr="00A67141">
        <w:t xml:space="preserve">/ hand delivery </w:t>
      </w:r>
      <w:r w:rsidR="00CD70E0" w:rsidRPr="00A67141">
        <w:t xml:space="preserve">(see </w:t>
      </w:r>
      <w:r w:rsidR="00B738FE" w:rsidRPr="00A67141">
        <w:t>s</w:t>
      </w:r>
      <w:r w:rsidR="00CD70E0" w:rsidRPr="00A67141">
        <w:t xml:space="preserve">ection 2.2.3) </w:t>
      </w:r>
      <w:r w:rsidR="00B75B73" w:rsidRPr="00A67141">
        <w:t>it</w:t>
      </w:r>
      <w:r w:rsidR="00E17B84" w:rsidRPr="00A67141">
        <w:t xml:space="preserve"> must send </w:t>
      </w:r>
      <w:r w:rsidR="00B75B73" w:rsidRPr="00A67141">
        <w:t>the</w:t>
      </w:r>
      <w:r w:rsidR="00E17B84" w:rsidRPr="00A67141">
        <w:t xml:space="preserve"> </w:t>
      </w:r>
      <w:r w:rsidR="001D5ED0" w:rsidRPr="00A67141">
        <w:t>f</w:t>
      </w:r>
      <w:r w:rsidR="00E17B84" w:rsidRPr="00A67141">
        <w:t xml:space="preserve">ull </w:t>
      </w:r>
      <w:r w:rsidR="001D5ED0" w:rsidRPr="00A67141">
        <w:t>a</w:t>
      </w:r>
      <w:r w:rsidR="00E17B84" w:rsidRPr="00A67141">
        <w:t>pplication by the same means (</w:t>
      </w:r>
      <w:r w:rsidR="00D41D87" w:rsidRPr="00A67141">
        <w:t>by post</w:t>
      </w:r>
      <w:r w:rsidRPr="00A67141">
        <w:t xml:space="preserve"> </w:t>
      </w:r>
      <w:r w:rsidR="001D5ED0" w:rsidRPr="00A67141">
        <w:t>or</w:t>
      </w:r>
      <w:r w:rsidRPr="00A67141">
        <w:t xml:space="preserve"> hand delivery</w:t>
      </w:r>
      <w:r w:rsidR="00E17B84" w:rsidRPr="00A67141">
        <w:t xml:space="preserve">). </w:t>
      </w:r>
    </w:p>
    <w:p w14:paraId="7A84540B" w14:textId="77777777" w:rsidR="009015D1" w:rsidRDefault="00A020D5" w:rsidP="000F7EF5">
      <w:pPr>
        <w:spacing w:before="240"/>
      </w:pPr>
      <w:r w:rsidRPr="00A67141">
        <w:t xml:space="preserve">(b) </w:t>
      </w:r>
      <w:r w:rsidR="00E17B84" w:rsidRPr="00A67141">
        <w:t xml:space="preserve">If the </w:t>
      </w:r>
      <w:r w:rsidR="00B738FE" w:rsidRPr="00A67141">
        <w:t>lead a</w:t>
      </w:r>
      <w:r w:rsidR="00E17B84" w:rsidRPr="00A67141">
        <w:t>pplicant submitted t</w:t>
      </w:r>
      <w:r w:rsidR="00B75B73" w:rsidRPr="00A67141">
        <w:t xml:space="preserve">he </w:t>
      </w:r>
      <w:r w:rsidR="001D5ED0" w:rsidRPr="00A67141">
        <w:t>c</w:t>
      </w:r>
      <w:r w:rsidR="00E17B84" w:rsidRPr="00A67141">
        <w:t xml:space="preserve">oncept </w:t>
      </w:r>
      <w:r w:rsidR="001D5ED0" w:rsidRPr="00A67141">
        <w:t>n</w:t>
      </w:r>
      <w:r w:rsidR="00E17B84" w:rsidRPr="00A67141">
        <w:t xml:space="preserve">ote online via PROSPECT but </w:t>
      </w:r>
      <w:r w:rsidR="000F7EF5" w:rsidRPr="00A67141">
        <w:t xml:space="preserve">it is </w:t>
      </w:r>
      <w:r w:rsidR="00B75B73" w:rsidRPr="00A67141">
        <w:t xml:space="preserve">technically </w:t>
      </w:r>
      <w:r w:rsidR="000F7EF5" w:rsidRPr="00A67141">
        <w:t>impossible for</w:t>
      </w:r>
      <w:r w:rsidR="00B75B73" w:rsidRPr="00A67141">
        <w:t xml:space="preserve"> the organisation to submit the </w:t>
      </w:r>
      <w:r w:rsidR="001D5ED0" w:rsidRPr="00A67141">
        <w:t>f</w:t>
      </w:r>
      <w:r w:rsidR="00E17B84" w:rsidRPr="00A67141">
        <w:t xml:space="preserve">ull </w:t>
      </w:r>
      <w:r w:rsidR="001D5ED0" w:rsidRPr="00A67141">
        <w:t>a</w:t>
      </w:r>
      <w:r w:rsidR="00E17B84" w:rsidRPr="00A67141">
        <w:t>pplication</w:t>
      </w:r>
      <w:r w:rsidR="001A1DC9" w:rsidRPr="00A67141">
        <w:t xml:space="preserve"> online</w:t>
      </w:r>
      <w:r w:rsidR="009015D1">
        <w:t>:</w:t>
      </w:r>
    </w:p>
    <w:p w14:paraId="54D45E94" w14:textId="41991166" w:rsidR="000F7EF5" w:rsidRPr="00B4103F" w:rsidRDefault="009015D1" w:rsidP="000F7EF5">
      <w:pPr>
        <w:spacing w:before="240"/>
        <w:rPr>
          <w:highlight w:val="lightGray"/>
        </w:rPr>
      </w:pPr>
      <w:r w:rsidRPr="00A67141">
        <w:t xml:space="preserve"> </w:t>
      </w:r>
      <w:r w:rsidR="000F7EF5" w:rsidRPr="00A67141">
        <w:t xml:space="preserve">In </w:t>
      </w:r>
      <w:r w:rsidR="00474B39" w:rsidRPr="00A67141">
        <w:t>the above</w:t>
      </w:r>
      <w:r w:rsidR="000F7EF5" w:rsidRPr="00A67141">
        <w:t xml:space="preserve"> </w:t>
      </w:r>
      <w:r w:rsidR="00A020D5" w:rsidRPr="00A67141">
        <w:t xml:space="preserve">two </w:t>
      </w:r>
      <w:r w:rsidR="000F7EF5" w:rsidRPr="00A67141">
        <w:t xml:space="preserve">cases the </w:t>
      </w:r>
      <w:r w:rsidR="00B738FE" w:rsidRPr="00A67141">
        <w:t>lead a</w:t>
      </w:r>
      <w:r w:rsidR="00B75B73" w:rsidRPr="00A67141">
        <w:t xml:space="preserve">pplicant must send by post the </w:t>
      </w:r>
      <w:r w:rsidR="00D41D87" w:rsidRPr="00A67141">
        <w:t xml:space="preserve">application, </w:t>
      </w:r>
      <w:proofErr w:type="spellStart"/>
      <w:r w:rsidR="00D41D87" w:rsidRPr="00A67141">
        <w:t>i.e</w:t>
      </w:r>
      <w:proofErr w:type="spellEnd"/>
      <w:r w:rsidR="00D41D87" w:rsidRPr="00A67141">
        <w:t xml:space="preserve"> the</w:t>
      </w:r>
      <w:r w:rsidR="000F7EF5" w:rsidRPr="00A67141">
        <w:t xml:space="preserve"> </w:t>
      </w:r>
      <w:r w:rsidR="001D5ED0" w:rsidRPr="00A67141">
        <w:t>f</w:t>
      </w:r>
      <w:r w:rsidR="00E17B84" w:rsidRPr="00A67141">
        <w:t xml:space="preserve">ull </w:t>
      </w:r>
      <w:r w:rsidR="001D5ED0" w:rsidRPr="00A67141">
        <w:t>a</w:t>
      </w:r>
      <w:r w:rsidR="00E17B84" w:rsidRPr="00A67141">
        <w:t>pplication</w:t>
      </w:r>
      <w:r w:rsidR="001D5ED0" w:rsidRPr="00A67141">
        <w:t xml:space="preserve"> form</w:t>
      </w:r>
      <w:r w:rsidR="00474B39" w:rsidRPr="00A67141">
        <w:t xml:space="preserve">, the </w:t>
      </w:r>
      <w:r w:rsidR="001D5ED0" w:rsidRPr="00A67141">
        <w:t>b</w:t>
      </w:r>
      <w:r w:rsidR="00474B39" w:rsidRPr="00A67141">
        <w:t>udget</w:t>
      </w:r>
      <w:r w:rsidR="00FA00EC" w:rsidRPr="00A67141">
        <w:t>,</w:t>
      </w:r>
      <w:r w:rsidR="00474B39" w:rsidRPr="00A67141">
        <w:t xml:space="preserve"> the </w:t>
      </w:r>
      <w:r w:rsidR="001D5ED0" w:rsidRPr="00A67141">
        <w:t>l</w:t>
      </w:r>
      <w:r w:rsidR="00474B39" w:rsidRPr="00A67141">
        <w:t>ogical framework</w:t>
      </w:r>
      <w:r w:rsidR="00FA00EC" w:rsidRPr="00A67141">
        <w:t xml:space="preserve"> and the declaration by the lead applicant</w:t>
      </w:r>
      <w:r w:rsidR="000F7EF5" w:rsidRPr="00A67141">
        <w:t xml:space="preserve">. </w:t>
      </w:r>
      <w:r w:rsidR="00FA00EC" w:rsidRPr="00A67141">
        <w:t>T</w:t>
      </w:r>
      <w:r w:rsidR="00E17B84" w:rsidRPr="00A67141">
        <w:t xml:space="preserve">he </w:t>
      </w:r>
      <w:r w:rsidR="00B738FE" w:rsidRPr="00A67141">
        <w:t>lead a</w:t>
      </w:r>
      <w:r w:rsidR="00E17B84" w:rsidRPr="00A67141">
        <w:t>pplicant must send</w:t>
      </w:r>
      <w:r w:rsidR="000F7EF5" w:rsidRPr="00A67141">
        <w:t>, in a sea</w:t>
      </w:r>
      <w:r w:rsidR="00CD70E0" w:rsidRPr="00A67141">
        <w:t>led envelope as described below,</w:t>
      </w:r>
      <w:r w:rsidR="000F7EF5" w:rsidRPr="00A67141">
        <w:t xml:space="preserve"> the following items:</w:t>
      </w:r>
    </w:p>
    <w:p w14:paraId="723D456E" w14:textId="371C63AF" w:rsidR="009C7B60" w:rsidRPr="00FE05D4" w:rsidRDefault="000F7EF5" w:rsidP="00A73F08">
      <w:pPr>
        <w:spacing w:before="240"/>
        <w:ind w:firstLine="720"/>
      </w:pPr>
      <w:r w:rsidRPr="006D790A">
        <w:t>a.</w:t>
      </w:r>
      <w:r w:rsidR="002D1DD4">
        <w:t xml:space="preserve"> </w:t>
      </w:r>
      <w:r w:rsidRPr="006D790A">
        <w:t xml:space="preserve">One original </w:t>
      </w:r>
      <w:r w:rsidR="00314113" w:rsidRPr="006D790A">
        <w:t>signed</w:t>
      </w:r>
      <w:r w:rsidRPr="006D790A">
        <w:t xml:space="preserve"> copy of the </w:t>
      </w:r>
      <w:r w:rsidR="001D5ED0" w:rsidRPr="006D790A">
        <w:t>f</w:t>
      </w:r>
      <w:r w:rsidR="009C0349" w:rsidRPr="006D790A">
        <w:t xml:space="preserve">ull </w:t>
      </w:r>
      <w:r w:rsidR="001D5ED0" w:rsidRPr="006D790A">
        <w:t>a</w:t>
      </w:r>
      <w:r w:rsidR="009C0349" w:rsidRPr="006D790A">
        <w:t>pplication form, the budget and the logical framework.</w:t>
      </w:r>
      <w:r w:rsidR="00474B39" w:rsidRPr="006D790A">
        <w:t xml:space="preserve"> </w:t>
      </w:r>
      <w:r w:rsidR="009C7B60" w:rsidRPr="006D790A">
        <w:t xml:space="preserve">The </w:t>
      </w:r>
      <w:r w:rsidR="001D5ED0" w:rsidRPr="006D790A">
        <w:t>d</w:t>
      </w:r>
      <w:r w:rsidR="009C7B60" w:rsidRPr="006D790A">
        <w:t xml:space="preserve">eclaration by the </w:t>
      </w:r>
      <w:r w:rsidR="00B738FE" w:rsidRPr="006D790A">
        <w:t>lead a</w:t>
      </w:r>
      <w:r w:rsidR="009C7B60" w:rsidRPr="006D790A">
        <w:t>pplicant (</w:t>
      </w:r>
      <w:r w:rsidR="001F2AFE" w:rsidRPr="006D790A">
        <w:t>Annex A.2</w:t>
      </w:r>
      <w:r w:rsidR="002B4DEB" w:rsidRPr="006D790A">
        <w:t>,</w:t>
      </w:r>
      <w:r w:rsidR="00E76CEE" w:rsidRPr="006D790A">
        <w:t xml:space="preserve"> </w:t>
      </w:r>
      <w:r w:rsidR="002B4DEB" w:rsidRPr="006D790A">
        <w:t>s</w:t>
      </w:r>
      <w:r w:rsidR="00E76CEE" w:rsidRPr="006D790A">
        <w:t xml:space="preserve">ection </w:t>
      </w:r>
      <w:r w:rsidR="0093519F" w:rsidRPr="006D790A">
        <w:t>5</w:t>
      </w:r>
      <w:r w:rsidR="009C7B60" w:rsidRPr="006D790A">
        <w:t>) must be printed and stapled separately and enclosed in the envelope</w:t>
      </w:r>
    </w:p>
    <w:p w14:paraId="3BA553CE" w14:textId="163322A4" w:rsidR="000F7EF5" w:rsidRPr="006D790A" w:rsidRDefault="005B0079" w:rsidP="00A73F08">
      <w:pPr>
        <w:ind w:firstLine="720"/>
      </w:pPr>
      <w:r w:rsidRPr="006D790A">
        <w:t>b</w:t>
      </w:r>
      <w:r w:rsidR="000F7EF5" w:rsidRPr="006D790A">
        <w:t xml:space="preserve">. </w:t>
      </w:r>
      <w:r w:rsidR="00607A96" w:rsidRPr="006D790A">
        <w:rPr>
          <w:lang w:eastAsia="en-GB"/>
        </w:rPr>
        <w:t xml:space="preserve">An electronic </w:t>
      </w:r>
      <w:proofErr w:type="gramStart"/>
      <w:r w:rsidR="00607A96" w:rsidRPr="006D790A">
        <w:rPr>
          <w:lang w:eastAsia="en-GB"/>
        </w:rPr>
        <w:t>version  (</w:t>
      </w:r>
      <w:proofErr w:type="spellStart"/>
      <w:proofErr w:type="gramEnd"/>
      <w:r w:rsidR="00607A96" w:rsidRPr="006D790A">
        <w:rPr>
          <w:lang w:eastAsia="en-GB"/>
        </w:rPr>
        <w:t>CD-Rom</w:t>
      </w:r>
      <w:proofErr w:type="spellEnd"/>
      <w:r w:rsidR="000A3C2B" w:rsidRPr="006D790A">
        <w:rPr>
          <w:lang w:eastAsia="en-GB"/>
        </w:rPr>
        <w:t xml:space="preserve"> </w:t>
      </w:r>
      <w:r w:rsidR="00607A96" w:rsidRPr="006D790A">
        <w:rPr>
          <w:lang w:eastAsia="en-GB"/>
        </w:rPr>
        <w:t xml:space="preserve">of </w:t>
      </w:r>
      <w:r w:rsidR="009C0349" w:rsidRPr="006D790A">
        <w:rPr>
          <w:lang w:eastAsia="en-GB"/>
        </w:rPr>
        <w:t xml:space="preserve">the </w:t>
      </w:r>
      <w:r w:rsidR="001421B3" w:rsidRPr="006D790A">
        <w:rPr>
          <w:lang w:eastAsia="en-GB"/>
        </w:rPr>
        <w:t>item</w:t>
      </w:r>
      <w:r w:rsidR="00314113" w:rsidRPr="006D790A">
        <w:rPr>
          <w:lang w:eastAsia="en-GB"/>
        </w:rPr>
        <w:t>s under point</w:t>
      </w:r>
      <w:r w:rsidR="009C0349" w:rsidRPr="006D790A">
        <w:rPr>
          <w:lang w:eastAsia="en-GB"/>
        </w:rPr>
        <w:t xml:space="preserve"> (a)</w:t>
      </w:r>
      <w:r w:rsidR="00607A96" w:rsidRPr="006D790A">
        <w:rPr>
          <w:lang w:eastAsia="en-GB"/>
        </w:rPr>
        <w:t xml:space="preserve">. </w:t>
      </w:r>
      <w:r w:rsidR="000F7EF5" w:rsidRPr="006D790A">
        <w:t xml:space="preserve">The electronic file must contain exactly the same application as the paper version enclosed. </w:t>
      </w:r>
    </w:p>
    <w:p w14:paraId="508CD81B" w14:textId="77777777" w:rsidR="00FE480E" w:rsidRPr="006D790A" w:rsidRDefault="00FE480E" w:rsidP="00FE480E">
      <w:r w:rsidRPr="006D790A">
        <w:t>To reduce expense and waste, we strongly recommend that you use only paper for your file (no plastic folders or dividers). Please also use double-sided printing if possible</w:t>
      </w:r>
    </w:p>
    <w:p w14:paraId="464B6E95" w14:textId="77777777" w:rsidR="008B4806" w:rsidRPr="006D790A" w:rsidRDefault="008B4806" w:rsidP="00A73F08">
      <w:r w:rsidRPr="006D790A">
        <w:t xml:space="preserve">Applications must be </w:t>
      </w:r>
      <w:r w:rsidR="00800FA4" w:rsidRPr="006D790A">
        <w:t>submitted</w:t>
      </w:r>
      <w:r w:rsidRPr="006D790A">
        <w:t xml:space="preserve"> in a sealed envelope by registered mail, private courier service or by hand-delivery (a signed and dated certificate of receipt will be given to the deliverer) </w:t>
      </w:r>
      <w:r w:rsidR="0040484C" w:rsidRPr="006D790A">
        <w:t xml:space="preserve">to </w:t>
      </w:r>
      <w:r w:rsidRPr="006D790A">
        <w:t xml:space="preserve">the address </w:t>
      </w:r>
      <w:r w:rsidRPr="006D790A">
        <w:lastRenderedPageBreak/>
        <w:t>below</w:t>
      </w:r>
      <w:r w:rsidR="00CD5A62" w:rsidRPr="006D790A">
        <w:t xml:space="preserve">. Where </w:t>
      </w:r>
      <w:r w:rsidR="00B738FE" w:rsidRPr="006D790A">
        <w:t xml:space="preserve">lead </w:t>
      </w:r>
      <w:r w:rsidR="00CD5A62" w:rsidRPr="006D790A">
        <w:t xml:space="preserve">applicants send several applications (if allowed to do so by the </w:t>
      </w:r>
      <w:r w:rsidR="001D5ED0" w:rsidRPr="006D790A">
        <w:t>g</w:t>
      </w:r>
      <w:r w:rsidR="00CD5A62" w:rsidRPr="006D790A">
        <w:t xml:space="preserve">uidelines of the </w:t>
      </w:r>
      <w:r w:rsidR="001D5ED0" w:rsidRPr="006D790A">
        <w:t>c</w:t>
      </w:r>
      <w:r w:rsidR="00CD5A62" w:rsidRPr="006D790A">
        <w:t>all), ea</w:t>
      </w:r>
      <w:r w:rsidR="00E62668" w:rsidRPr="006D790A">
        <w:t>ch one must be sent separately</w:t>
      </w:r>
      <w:r w:rsidR="00423CB3" w:rsidRPr="006D790A">
        <w:t>:</w:t>
      </w:r>
    </w:p>
    <w:p w14:paraId="21E6FF0D" w14:textId="77777777" w:rsidR="005B0079" w:rsidRPr="002D1DD4" w:rsidRDefault="005B0079" w:rsidP="005B0079">
      <w:pPr>
        <w:rPr>
          <w:szCs w:val="22"/>
          <w:u w:val="single"/>
        </w:rPr>
      </w:pPr>
      <w:r w:rsidRPr="002D1DD4">
        <w:rPr>
          <w:szCs w:val="22"/>
          <w:u w:val="single"/>
        </w:rPr>
        <w:t>Postal address</w:t>
      </w:r>
    </w:p>
    <w:p w14:paraId="046983E3" w14:textId="77777777" w:rsidR="002E3CF4" w:rsidRPr="002D1DD4" w:rsidRDefault="005B0079" w:rsidP="002E3CF4">
      <w:pPr>
        <w:pStyle w:val="Default"/>
        <w:rPr>
          <w:sz w:val="22"/>
          <w:szCs w:val="22"/>
        </w:rPr>
      </w:pPr>
      <w:r w:rsidRPr="009015D1">
        <w:rPr>
          <w:sz w:val="22"/>
          <w:szCs w:val="22"/>
        </w:rPr>
        <w:t>European Commission</w:t>
      </w:r>
      <w:r w:rsidRPr="009015D1">
        <w:rPr>
          <w:sz w:val="22"/>
          <w:szCs w:val="22"/>
        </w:rPr>
        <w:tab/>
      </w:r>
      <w:r w:rsidRPr="009015D1">
        <w:rPr>
          <w:sz w:val="22"/>
          <w:szCs w:val="22"/>
        </w:rPr>
        <w:br/>
        <w:t xml:space="preserve">Directorate-General for International Cooperation and Development </w:t>
      </w:r>
      <w:r w:rsidRPr="009015D1">
        <w:rPr>
          <w:sz w:val="22"/>
          <w:szCs w:val="22"/>
        </w:rPr>
        <w:br/>
      </w:r>
      <w:r w:rsidR="002E3CF4" w:rsidRPr="009015D1">
        <w:rPr>
          <w:sz w:val="22"/>
          <w:szCs w:val="22"/>
        </w:rPr>
        <w:t>Unit DEVCO B6 Finance and Contracts</w:t>
      </w:r>
    </w:p>
    <w:p w14:paraId="091E7380" w14:textId="77777777" w:rsidR="005B0079" w:rsidRPr="002D1DD4" w:rsidRDefault="005B0079" w:rsidP="005B0079">
      <w:pPr>
        <w:pStyle w:val="Default"/>
        <w:rPr>
          <w:sz w:val="22"/>
          <w:szCs w:val="22"/>
        </w:rPr>
      </w:pPr>
      <w:r w:rsidRPr="002D1DD4">
        <w:rPr>
          <w:sz w:val="22"/>
          <w:szCs w:val="22"/>
        </w:rPr>
        <w:t xml:space="preserve">Attn. Head of Unit L-41 03/110 </w:t>
      </w:r>
    </w:p>
    <w:p w14:paraId="7041A959" w14:textId="77777777" w:rsidR="005B0079" w:rsidRPr="002D1DD4" w:rsidRDefault="005B0079" w:rsidP="006D790A">
      <w:pPr>
        <w:spacing w:before="0"/>
        <w:jc w:val="left"/>
        <w:rPr>
          <w:szCs w:val="22"/>
          <w:lang w:val="fr-BE"/>
        </w:rPr>
      </w:pPr>
      <w:r w:rsidRPr="009015D1">
        <w:rPr>
          <w:szCs w:val="22"/>
          <w:lang w:val="fr-BE"/>
        </w:rPr>
        <w:t>Avenue du Bourget, 1</w:t>
      </w:r>
      <w:r w:rsidRPr="009015D1">
        <w:rPr>
          <w:lang w:val="fr-BE"/>
        </w:rPr>
        <w:br/>
        <w:t>B-1049 Brussels</w:t>
      </w:r>
      <w:r w:rsidRPr="009015D1">
        <w:rPr>
          <w:lang w:val="fr-BE"/>
        </w:rPr>
        <w:br/>
        <w:t>BELGIUM</w:t>
      </w:r>
    </w:p>
    <w:p w14:paraId="220AAFD9" w14:textId="42C4A5C6" w:rsidR="005B0079" w:rsidRPr="001007A4" w:rsidRDefault="005B0079" w:rsidP="005B0079">
      <w:pPr>
        <w:rPr>
          <w:szCs w:val="22"/>
          <w:u w:val="single"/>
        </w:rPr>
      </w:pPr>
      <w:r w:rsidRPr="001007A4">
        <w:rPr>
          <w:szCs w:val="22"/>
          <w:u w:val="single"/>
        </w:rPr>
        <w:t>Address for hand delivery or by private courier service</w:t>
      </w:r>
    </w:p>
    <w:p w14:paraId="0F08DCB2" w14:textId="0AD8215B" w:rsidR="005B0079" w:rsidRPr="002D1DD4" w:rsidRDefault="005B0079" w:rsidP="005B0079">
      <w:pPr>
        <w:pStyle w:val="Default"/>
        <w:rPr>
          <w:sz w:val="22"/>
          <w:szCs w:val="22"/>
        </w:rPr>
      </w:pPr>
      <w:r w:rsidRPr="009015D1">
        <w:rPr>
          <w:sz w:val="22"/>
          <w:szCs w:val="22"/>
        </w:rPr>
        <w:t>European Commission</w:t>
      </w:r>
      <w:r w:rsidRPr="009015D1">
        <w:rPr>
          <w:sz w:val="22"/>
          <w:szCs w:val="22"/>
        </w:rPr>
        <w:br/>
        <w:t xml:space="preserve">Directorate-General for International Cooperation and Development </w:t>
      </w:r>
      <w:r w:rsidRPr="009015D1">
        <w:rPr>
          <w:sz w:val="22"/>
          <w:szCs w:val="22"/>
        </w:rPr>
        <w:br/>
        <w:t>Unit DEVCO B6 Finance</w:t>
      </w:r>
      <w:r w:rsidR="002E3CF4" w:rsidRPr="009015D1">
        <w:rPr>
          <w:sz w:val="22"/>
          <w:szCs w:val="22"/>
        </w:rPr>
        <w:t xml:space="preserve"> and</w:t>
      </w:r>
      <w:r w:rsidRPr="009015D1">
        <w:rPr>
          <w:sz w:val="22"/>
          <w:szCs w:val="22"/>
        </w:rPr>
        <w:t xml:space="preserve"> Contracts</w:t>
      </w:r>
    </w:p>
    <w:p w14:paraId="6207495E" w14:textId="77777777" w:rsidR="005B0079" w:rsidRPr="002D1DD4" w:rsidRDefault="005B0079" w:rsidP="005B0079">
      <w:pPr>
        <w:pStyle w:val="Default"/>
        <w:rPr>
          <w:sz w:val="22"/>
          <w:szCs w:val="22"/>
        </w:rPr>
      </w:pPr>
      <w:r w:rsidRPr="002D1DD4">
        <w:rPr>
          <w:sz w:val="22"/>
          <w:szCs w:val="22"/>
        </w:rPr>
        <w:t xml:space="preserve">Attn. Head of Unit L-41 03/110 </w:t>
      </w:r>
    </w:p>
    <w:p w14:paraId="660F598C" w14:textId="77777777" w:rsidR="005B0079" w:rsidRPr="001007A4" w:rsidRDefault="005B0079" w:rsidP="006D790A">
      <w:pPr>
        <w:spacing w:before="0"/>
        <w:jc w:val="left"/>
        <w:rPr>
          <w:szCs w:val="22"/>
          <w:lang w:val="fr-BE"/>
        </w:rPr>
      </w:pPr>
      <w:r w:rsidRPr="002D1DD4">
        <w:rPr>
          <w:szCs w:val="22"/>
          <w:lang w:val="fr-BE"/>
        </w:rPr>
        <w:t>Avenue du Bourget, 1</w:t>
      </w:r>
      <w:r w:rsidRPr="001007A4">
        <w:rPr>
          <w:szCs w:val="22"/>
          <w:lang w:val="fr-BE"/>
        </w:rPr>
        <w:br/>
        <w:t xml:space="preserve">Central Mail Service </w:t>
      </w:r>
      <w:r w:rsidRPr="001007A4">
        <w:rPr>
          <w:szCs w:val="22"/>
          <w:lang w:val="fr-BE"/>
        </w:rPr>
        <w:br/>
        <w:t>Avenue du Bourget, 1</w:t>
      </w:r>
      <w:r w:rsidRPr="001007A4">
        <w:rPr>
          <w:szCs w:val="22"/>
          <w:lang w:val="fr-BE"/>
        </w:rPr>
        <w:br/>
        <w:t>B-1140 Brussels (Evere</w:t>
      </w:r>
      <w:proofErr w:type="gramStart"/>
      <w:r w:rsidRPr="001007A4">
        <w:rPr>
          <w:szCs w:val="22"/>
          <w:lang w:val="fr-BE"/>
        </w:rPr>
        <w:t>)</w:t>
      </w:r>
      <w:proofErr w:type="gramEnd"/>
      <w:r w:rsidRPr="001007A4">
        <w:rPr>
          <w:szCs w:val="22"/>
          <w:lang w:val="fr-BE"/>
        </w:rPr>
        <w:br/>
        <w:t>BELGIUM</w:t>
      </w:r>
    </w:p>
    <w:p w14:paraId="0102A09E" w14:textId="4368F2B2" w:rsidR="008B4806" w:rsidRPr="006D790A" w:rsidRDefault="008B4806" w:rsidP="00203ABF">
      <w:pPr>
        <w:rPr>
          <w:color w:val="000000"/>
        </w:rPr>
      </w:pPr>
      <w:r w:rsidRPr="006D790A">
        <w:t xml:space="preserve">The envelope must bear the </w:t>
      </w:r>
      <w:r w:rsidRPr="006D790A">
        <w:rPr>
          <w:b/>
        </w:rPr>
        <w:t xml:space="preserve">reference number and the title of the </w:t>
      </w:r>
      <w:r w:rsidR="00B738FE" w:rsidRPr="006D790A">
        <w:rPr>
          <w:b/>
        </w:rPr>
        <w:t>c</w:t>
      </w:r>
      <w:r w:rsidR="001D0C7B" w:rsidRPr="006D790A">
        <w:rPr>
          <w:b/>
        </w:rPr>
        <w:t xml:space="preserve">all for </w:t>
      </w:r>
      <w:r w:rsidR="00B738FE" w:rsidRPr="006D790A">
        <w:rPr>
          <w:b/>
        </w:rPr>
        <w:t>p</w:t>
      </w:r>
      <w:r w:rsidR="001D0C7B" w:rsidRPr="006D790A">
        <w:rPr>
          <w:b/>
        </w:rPr>
        <w:t>roposals</w:t>
      </w:r>
      <w:r w:rsidRPr="006D790A">
        <w:t>, together with the number and title of the lot</w:t>
      </w:r>
      <w:r w:rsidR="0040484C" w:rsidRPr="006D790A">
        <w:t>,</w:t>
      </w:r>
      <w:r w:rsidRPr="006D790A">
        <w:t xml:space="preserve"> the full name and address of the </w:t>
      </w:r>
      <w:r w:rsidR="00B738FE" w:rsidRPr="006D790A">
        <w:t>lead a</w:t>
      </w:r>
      <w:r w:rsidRPr="006D790A">
        <w:t xml:space="preserve">pplicant, and the words </w:t>
      </w:r>
      <w:r w:rsidR="00A016F9" w:rsidRPr="006D790A">
        <w:t>‘</w:t>
      </w:r>
      <w:r w:rsidRPr="006D790A">
        <w:t>Not to be opened before the opening session</w:t>
      </w:r>
      <w:r w:rsidR="00A016F9" w:rsidRPr="006D790A">
        <w:t>’</w:t>
      </w:r>
      <w:r w:rsidR="005B0079" w:rsidRPr="006D790A">
        <w:t>.</w:t>
      </w:r>
      <w:r w:rsidRPr="006D790A">
        <w:t xml:space="preserve"> </w:t>
      </w:r>
    </w:p>
    <w:p w14:paraId="5CD8903C" w14:textId="2C33621E" w:rsidR="00B738FE" w:rsidRPr="00FE05D4" w:rsidRDefault="00E17B84" w:rsidP="00B738FE">
      <w:pPr>
        <w:rPr>
          <w:color w:val="000000"/>
        </w:rPr>
      </w:pPr>
      <w:r w:rsidRPr="006D790A">
        <w:rPr>
          <w:color w:val="000000"/>
        </w:rPr>
        <w:t>Applications sent by any other means (e.g. by fax or by e-mail) or delivered to other addresses will be rejected.</w:t>
      </w:r>
      <w:r w:rsidR="00B738FE" w:rsidRPr="006D790A">
        <w:t xml:space="preserve"> Hand-written applications will not be accepted.</w:t>
      </w:r>
    </w:p>
    <w:p w14:paraId="7B222888" w14:textId="77777777" w:rsidR="002C4179" w:rsidRPr="00FE05D4" w:rsidRDefault="009B6537" w:rsidP="002C4179">
      <w:pPr>
        <w:rPr>
          <w:b/>
        </w:rPr>
      </w:pPr>
      <w:r>
        <w:rPr>
          <w:b/>
        </w:rPr>
        <w:t>Please note that i</w:t>
      </w:r>
      <w:r w:rsidR="002C4179" w:rsidRPr="00FE05D4">
        <w:rPr>
          <w:b/>
        </w:rPr>
        <w:t>ncomplete applications may be rejected.</w:t>
      </w:r>
      <w:r w:rsidR="002C4179">
        <w:rPr>
          <w:b/>
        </w:rPr>
        <w:t xml:space="preserve"> </w:t>
      </w:r>
      <w:r w:rsidR="00B738FE">
        <w:t>Lead a</w:t>
      </w:r>
      <w:r w:rsidR="002C4179" w:rsidRPr="003953A0">
        <w:t xml:space="preserve">pplicants </w:t>
      </w:r>
      <w:r w:rsidR="003953A0">
        <w:t xml:space="preserve">are advised to </w:t>
      </w:r>
      <w:r w:rsidR="002C4179" w:rsidRPr="003953A0">
        <w:t>verify that their application is complete using the checklist</w:t>
      </w:r>
      <w:r w:rsidR="00FA00EC">
        <w:t xml:space="preserve"> </w:t>
      </w:r>
      <w:r w:rsidR="002C4179" w:rsidRPr="003953A0">
        <w:t>(Annex A.2</w:t>
      </w:r>
      <w:r w:rsidR="002B4DEB">
        <w:t>,</w:t>
      </w:r>
      <w:r w:rsidR="002C4179" w:rsidRPr="003953A0">
        <w:t xml:space="preserve"> </w:t>
      </w:r>
      <w:r w:rsidR="00CE461B">
        <w:t>Instructions</w:t>
      </w:r>
      <w:r w:rsidR="00CE461B" w:rsidRPr="00564F01">
        <w:t>).</w:t>
      </w:r>
    </w:p>
    <w:p w14:paraId="6879F3CC" w14:textId="77777777" w:rsidR="00E17B84" w:rsidRPr="00807DAF" w:rsidRDefault="00E17B84" w:rsidP="00203ABF">
      <w:pPr>
        <w:rPr>
          <w:b/>
          <w:highlight w:val="lightGray"/>
        </w:rPr>
      </w:pPr>
    </w:p>
    <w:p w14:paraId="298AC5D5" w14:textId="77777777" w:rsidR="008B4806" w:rsidRPr="00FE05D4" w:rsidRDefault="008B4806" w:rsidP="007A0900">
      <w:pPr>
        <w:pStyle w:val="Guidelines3"/>
        <w:numPr>
          <w:ilvl w:val="2"/>
          <w:numId w:val="15"/>
        </w:numPr>
      </w:pPr>
      <w:bookmarkStart w:id="27" w:name="_Toc487024650"/>
      <w:bookmarkStart w:id="28" w:name="_Toc125454358"/>
      <w:r w:rsidRPr="00FE05D4">
        <w:t>Deadline for</w:t>
      </w:r>
      <w:r w:rsidR="006548FC" w:rsidRPr="00FE05D4">
        <w:t xml:space="preserve"> submission</w:t>
      </w:r>
      <w:r w:rsidRPr="00FE05D4">
        <w:t xml:space="preserve"> of</w:t>
      </w:r>
      <w:r w:rsidR="001507E7" w:rsidRPr="00FE05D4">
        <w:t xml:space="preserve"> </w:t>
      </w:r>
      <w:r w:rsidR="003953A0">
        <w:t>f</w:t>
      </w:r>
      <w:r w:rsidR="003953A0" w:rsidRPr="00FE05D4">
        <w:t xml:space="preserve">ull </w:t>
      </w:r>
      <w:r w:rsidR="003953A0">
        <w:t>a</w:t>
      </w:r>
      <w:r w:rsidRPr="00FE05D4">
        <w:t>pplication</w:t>
      </w:r>
      <w:r w:rsidR="003953A0">
        <w:t>s</w:t>
      </w:r>
      <w:bookmarkEnd w:id="27"/>
      <w:r w:rsidR="001507E7" w:rsidRPr="00FE05D4">
        <w:t xml:space="preserve"> </w:t>
      </w:r>
      <w:bookmarkEnd w:id="28"/>
    </w:p>
    <w:p w14:paraId="4BD4455C" w14:textId="30C90500" w:rsidR="009C3DFC" w:rsidRPr="00FE05D4" w:rsidRDefault="00D8302F" w:rsidP="00203ABF">
      <w:pPr>
        <w:spacing w:before="240"/>
      </w:pPr>
      <w:r w:rsidRPr="00FE05D4">
        <w:t xml:space="preserve">The deadline for the submission of </w:t>
      </w:r>
      <w:r w:rsidR="003953A0">
        <w:t xml:space="preserve">full </w:t>
      </w:r>
      <w:r w:rsidRPr="00FE05D4">
        <w:t xml:space="preserve">applications will be indicated in the letter sent to the </w:t>
      </w:r>
      <w:r w:rsidR="00B738FE">
        <w:t>lead a</w:t>
      </w:r>
      <w:r w:rsidRPr="00FE05D4">
        <w:t xml:space="preserve">pplicants whose application has been pre-selected. </w:t>
      </w:r>
      <w:r w:rsidR="00E62668" w:rsidRPr="00FE05D4">
        <w:t xml:space="preserve">This letter will appear online </w:t>
      </w:r>
      <w:r w:rsidR="00B62E7D" w:rsidRPr="00FE05D4">
        <w:t xml:space="preserve">automatically </w:t>
      </w:r>
      <w:r w:rsidR="00E62668" w:rsidRPr="00FE05D4">
        <w:t>in the PROSP</w:t>
      </w:r>
      <w:r w:rsidR="00874C4A" w:rsidRPr="00FE05D4">
        <w:t xml:space="preserve">ECT profile of the </w:t>
      </w:r>
      <w:r w:rsidR="00B738FE">
        <w:t>lead a</w:t>
      </w:r>
      <w:r w:rsidR="00874C4A" w:rsidRPr="00FE05D4">
        <w:t>pplica</w:t>
      </w:r>
      <w:r w:rsidR="00B62E7D" w:rsidRPr="00FE05D4">
        <w:t>nt</w:t>
      </w:r>
      <w:r w:rsidR="00B62E7D" w:rsidRPr="00176C8C">
        <w:t>.</w:t>
      </w:r>
      <w:r w:rsidR="00874C4A" w:rsidRPr="00176C8C">
        <w:t xml:space="preserve"> </w:t>
      </w:r>
      <w:r w:rsidR="00B738FE" w:rsidRPr="00342AFB">
        <w:t>Lead a</w:t>
      </w:r>
      <w:r w:rsidR="00874C4A" w:rsidRPr="00342AFB">
        <w:t>pplicants who</w:t>
      </w:r>
      <w:r w:rsidR="00225B0E" w:rsidRPr="00342AFB">
        <w:t xml:space="preserve">, in exceptional cases (see </w:t>
      </w:r>
      <w:r w:rsidR="002B4DEB" w:rsidRPr="00342AFB">
        <w:t>s</w:t>
      </w:r>
      <w:r w:rsidR="00225B0E" w:rsidRPr="00342AFB">
        <w:t xml:space="preserve">ection </w:t>
      </w:r>
      <w:r w:rsidRPr="00342AFB">
        <w:t>2.2.6</w:t>
      </w:r>
      <w:r w:rsidR="00225B0E" w:rsidRPr="00342AFB">
        <w:t>)</w:t>
      </w:r>
      <w:r w:rsidR="00176C8C">
        <w:t>,</w:t>
      </w:r>
      <w:r w:rsidR="00874C4A" w:rsidRPr="00342AFB">
        <w:t xml:space="preserve"> </w:t>
      </w:r>
      <w:r w:rsidR="00225B0E" w:rsidRPr="00342AFB">
        <w:t xml:space="preserve">had to </w:t>
      </w:r>
      <w:r w:rsidR="00874C4A" w:rsidRPr="00342AFB">
        <w:t>submi</w:t>
      </w:r>
      <w:r w:rsidR="00B62E7D" w:rsidRPr="00342AFB">
        <w:t xml:space="preserve">t their application </w:t>
      </w:r>
      <w:r w:rsidR="00D41D87" w:rsidRPr="00342AFB">
        <w:t>by post</w:t>
      </w:r>
      <w:r w:rsidR="00835BB4" w:rsidRPr="00342AFB">
        <w:t xml:space="preserve"> or hand-delivery, </w:t>
      </w:r>
      <w:r w:rsidR="00874C4A" w:rsidRPr="00342AFB">
        <w:t>will receive the letter</w:t>
      </w:r>
      <w:r w:rsidR="00E62668" w:rsidRPr="00342AFB">
        <w:t xml:space="preserve"> </w:t>
      </w:r>
      <w:r w:rsidR="003953A0" w:rsidRPr="00342AFB">
        <w:t xml:space="preserve">by email or </w:t>
      </w:r>
      <w:r w:rsidR="00874C4A" w:rsidRPr="00342AFB">
        <w:t>by post</w:t>
      </w:r>
      <w:r w:rsidR="008F7A94" w:rsidRPr="00342AFB">
        <w:t xml:space="preserve"> if no e-mail address was provided</w:t>
      </w:r>
      <w:r w:rsidR="00874C4A" w:rsidRPr="00342AFB">
        <w:t>.</w:t>
      </w:r>
    </w:p>
    <w:p w14:paraId="2975B11E" w14:textId="29233114" w:rsidR="002B54B7" w:rsidRPr="00FE05D4" w:rsidRDefault="00B738FE" w:rsidP="00063380">
      <w:pPr>
        <w:spacing w:before="240"/>
      </w:pPr>
      <w:r>
        <w:rPr>
          <w:b/>
        </w:rPr>
        <w:t>Lead a</w:t>
      </w:r>
      <w:r w:rsidR="00063380" w:rsidRPr="007904B1">
        <w:rPr>
          <w:b/>
        </w:rPr>
        <w:t xml:space="preserve">pplicants are strongly advised not to wait until the last day to submit their </w:t>
      </w:r>
      <w:r w:rsidR="003953A0">
        <w:rPr>
          <w:b/>
        </w:rPr>
        <w:t>f</w:t>
      </w:r>
      <w:r w:rsidR="00063380" w:rsidRPr="007904B1">
        <w:rPr>
          <w:b/>
        </w:rPr>
        <w:t xml:space="preserve">ull </w:t>
      </w:r>
      <w:r w:rsidR="003953A0">
        <w:rPr>
          <w:b/>
        </w:rPr>
        <w:t>a</w:t>
      </w:r>
      <w:r w:rsidR="00063380" w:rsidRPr="007904B1">
        <w:rPr>
          <w:b/>
        </w:rPr>
        <w:t>pplications</w:t>
      </w:r>
      <w:r w:rsidR="00063380" w:rsidRPr="00FE05D4">
        <w:t>, since heavy Internet traffic or a fault with the Internet connection (including electricity failure, etc.) could lead to difficulties in submission. The Cont</w:t>
      </w:r>
      <w:r w:rsidR="00FA546C">
        <w:t>r</w:t>
      </w:r>
      <w:r w:rsidR="00063380" w:rsidRPr="00FE05D4">
        <w:t>acting Authority cannot be held responsible for any delay due to such afore-mentioned difficulties.</w:t>
      </w:r>
      <w:r w:rsidR="003119F7" w:rsidRPr="00FE05D4">
        <w:t xml:space="preserve"> </w:t>
      </w:r>
    </w:p>
    <w:p w14:paraId="23188572" w14:textId="37B6B730" w:rsidR="00063380" w:rsidRDefault="003119F7" w:rsidP="00063380">
      <w:pPr>
        <w:spacing w:before="240"/>
      </w:pPr>
      <w:r w:rsidRPr="006D790A">
        <w:t>In the case of submission by post</w:t>
      </w:r>
      <w:r w:rsidR="00063380" w:rsidRPr="006D790A">
        <w:t xml:space="preserve">, </w:t>
      </w:r>
      <w:r w:rsidR="00D41D87" w:rsidRPr="006D790A">
        <w:t>(</w:t>
      </w:r>
      <w:r w:rsidR="00A221ED" w:rsidRPr="006D790A">
        <w:t>see section 2.2.6</w:t>
      </w:r>
      <w:r w:rsidR="00063380" w:rsidRPr="006D790A">
        <w:t xml:space="preserve">), the date </w:t>
      </w:r>
      <w:r w:rsidR="001421B3" w:rsidRPr="006D790A">
        <w:t>o</w:t>
      </w:r>
      <w:r w:rsidR="00063380" w:rsidRPr="006D790A">
        <w:t>f submission is evidenced by the date of dispatch, the postmark or the date of the deposit slip. In the case of hand-deliveries, the deadline for receipt is at</w:t>
      </w:r>
      <w:r w:rsidR="00176C8C" w:rsidRPr="006D790A">
        <w:t xml:space="preserve"> 16:00 Brussels time </w:t>
      </w:r>
      <w:r w:rsidR="00063380" w:rsidRPr="006D790A">
        <w:t>as evidenced by the signed and dated receipt</w:t>
      </w:r>
      <w:r w:rsidRPr="006D790A">
        <w:t>.</w:t>
      </w:r>
    </w:p>
    <w:p w14:paraId="7EC42D11" w14:textId="77777777" w:rsidR="00F25620" w:rsidRPr="00BC4288" w:rsidRDefault="00F25620" w:rsidP="00063380">
      <w:pPr>
        <w:spacing w:before="240"/>
      </w:pPr>
      <w:r w:rsidRPr="00FE05D4">
        <w:t>Any application submitted after the deadline will be rejected.</w:t>
      </w:r>
      <w:r w:rsidR="00835BB4" w:rsidRPr="00FE05D4">
        <w:t xml:space="preserve"> </w:t>
      </w:r>
    </w:p>
    <w:p w14:paraId="4701F064" w14:textId="1780E43E" w:rsidR="00063380" w:rsidRPr="00BC4288" w:rsidRDefault="00063380" w:rsidP="00063380">
      <w:r w:rsidRPr="006D790A">
        <w:rPr>
          <w:rStyle w:val="Style11pt"/>
          <w:szCs w:val="22"/>
        </w:rPr>
        <w:lastRenderedPageBreak/>
        <w:t>However, for reasons of administrative efficiency, t</w:t>
      </w:r>
      <w:r w:rsidRPr="006D790A">
        <w:rPr>
          <w:lang w:eastAsia="en-GB" w:bidi="kn-IN"/>
        </w:rPr>
        <w:t xml:space="preserve">he Contracting Authority </w:t>
      </w:r>
      <w:r w:rsidRPr="006D790A">
        <w:rPr>
          <w:lang w:bidi="kn-IN"/>
        </w:rPr>
        <w:t>may</w:t>
      </w:r>
      <w:r w:rsidRPr="006D790A">
        <w:rPr>
          <w:lang w:eastAsia="en-GB" w:bidi="kn-IN"/>
        </w:rPr>
        <w:t xml:space="preserve"> </w:t>
      </w:r>
      <w:r w:rsidR="00F25620" w:rsidRPr="006D790A">
        <w:rPr>
          <w:lang w:eastAsia="en-GB" w:bidi="kn-IN"/>
        </w:rPr>
        <w:t xml:space="preserve">also </w:t>
      </w:r>
      <w:r w:rsidRPr="006D790A">
        <w:rPr>
          <w:lang w:eastAsia="en-GB" w:bidi="kn-IN"/>
        </w:rPr>
        <w:t xml:space="preserve">reject any </w:t>
      </w:r>
      <w:r w:rsidR="003953A0" w:rsidRPr="006D790A">
        <w:rPr>
          <w:lang w:bidi="kn-IN"/>
        </w:rPr>
        <w:t>f</w:t>
      </w:r>
      <w:r w:rsidRPr="006D790A">
        <w:rPr>
          <w:lang w:bidi="kn-IN"/>
        </w:rPr>
        <w:t xml:space="preserve">ull </w:t>
      </w:r>
      <w:r w:rsidR="003953A0" w:rsidRPr="006D790A">
        <w:rPr>
          <w:lang w:bidi="kn-IN"/>
        </w:rPr>
        <w:t>a</w:t>
      </w:r>
      <w:r w:rsidRPr="006D790A">
        <w:rPr>
          <w:lang w:bidi="kn-IN"/>
        </w:rPr>
        <w:t>pplication</w:t>
      </w:r>
      <w:r w:rsidRPr="006D790A">
        <w:rPr>
          <w:lang w:eastAsia="en-GB" w:bidi="kn-IN"/>
        </w:rPr>
        <w:t xml:space="preserve"> sent in due time but received after the effective date of </w:t>
      </w:r>
      <w:r w:rsidRPr="006D790A">
        <w:rPr>
          <w:lang w:bidi="kn-IN"/>
        </w:rPr>
        <w:t>approval</w:t>
      </w:r>
      <w:r w:rsidRPr="006D790A">
        <w:rPr>
          <w:lang w:eastAsia="en-GB" w:bidi="kn-IN"/>
        </w:rPr>
        <w:t xml:space="preserve"> of the</w:t>
      </w:r>
      <w:r w:rsidRPr="006D790A">
        <w:rPr>
          <w:lang w:bidi="kn-IN"/>
        </w:rPr>
        <w:t xml:space="preserve"> </w:t>
      </w:r>
      <w:r w:rsidR="003953A0" w:rsidRPr="006D790A">
        <w:rPr>
          <w:lang w:bidi="kn-IN"/>
        </w:rPr>
        <w:t>f</w:t>
      </w:r>
      <w:r w:rsidRPr="006D790A">
        <w:rPr>
          <w:lang w:bidi="kn-IN"/>
        </w:rPr>
        <w:t xml:space="preserve">ull </w:t>
      </w:r>
      <w:r w:rsidR="003953A0" w:rsidRPr="006D790A">
        <w:rPr>
          <w:lang w:bidi="kn-IN"/>
        </w:rPr>
        <w:t>a</w:t>
      </w:r>
      <w:r w:rsidRPr="006D790A">
        <w:rPr>
          <w:lang w:bidi="kn-IN"/>
        </w:rPr>
        <w:t>pplication evaluation (see indicative calendar under section 2.5.2)</w:t>
      </w:r>
      <w:r w:rsidR="00176C8C" w:rsidRPr="006D790A">
        <w:rPr>
          <w:lang w:bidi="kn-IN"/>
        </w:rPr>
        <w:t>.</w:t>
      </w:r>
      <w:r w:rsidRPr="00BC4288">
        <w:rPr>
          <w:lang w:bidi="kn-IN"/>
        </w:rPr>
        <w:t xml:space="preserve"> </w:t>
      </w:r>
      <w:r w:rsidR="00A221ED" w:rsidRPr="00BC4288">
        <w:rPr>
          <w:lang w:bidi="kn-IN"/>
        </w:rPr>
        <w:t xml:space="preserve"> </w:t>
      </w:r>
    </w:p>
    <w:p w14:paraId="307018E7" w14:textId="77777777" w:rsidR="008B4806" w:rsidRPr="00342AFB" w:rsidRDefault="008B4806" w:rsidP="007A0900">
      <w:pPr>
        <w:pStyle w:val="Guidelines3"/>
        <w:numPr>
          <w:ilvl w:val="2"/>
          <w:numId w:val="15"/>
        </w:numPr>
      </w:pPr>
      <w:bookmarkStart w:id="29" w:name="_Toc487024651"/>
      <w:bookmarkStart w:id="30" w:name="_Toc125454359"/>
      <w:r w:rsidRPr="00176C8C">
        <w:t>Further informatio</w:t>
      </w:r>
      <w:r w:rsidR="001507E7" w:rsidRPr="00176C8C">
        <w:t xml:space="preserve">n </w:t>
      </w:r>
      <w:r w:rsidR="00000396" w:rsidRPr="00176C8C">
        <w:t>about</w:t>
      </w:r>
      <w:r w:rsidR="001507E7" w:rsidRPr="00176C8C">
        <w:t xml:space="preserve"> </w:t>
      </w:r>
      <w:r w:rsidR="003953A0" w:rsidRPr="00176C8C">
        <w:t>f</w:t>
      </w:r>
      <w:r w:rsidR="001507E7" w:rsidRPr="00FA546C">
        <w:t xml:space="preserve">ull </w:t>
      </w:r>
      <w:r w:rsidR="003953A0" w:rsidRPr="00FA546C">
        <w:t>a</w:t>
      </w:r>
      <w:r w:rsidR="001507E7" w:rsidRPr="00FA546C">
        <w:t>pplication</w:t>
      </w:r>
      <w:r w:rsidR="003953A0" w:rsidRPr="00FA546C">
        <w:t>s</w:t>
      </w:r>
      <w:bookmarkEnd w:id="29"/>
      <w:r w:rsidR="001507E7" w:rsidRPr="00FA546C">
        <w:t xml:space="preserve"> </w:t>
      </w:r>
      <w:bookmarkEnd w:id="30"/>
    </w:p>
    <w:p w14:paraId="577810F6" w14:textId="1BD13433" w:rsidR="008B4806" w:rsidRPr="00FE05D4" w:rsidRDefault="008B4806" w:rsidP="00203ABF">
      <w:pPr>
        <w:spacing w:before="240"/>
      </w:pPr>
      <w:r w:rsidRPr="00FE05D4">
        <w:t xml:space="preserve">Questions may be sent by e-mail no later than 21 days before the deadline for the </w:t>
      </w:r>
      <w:r w:rsidR="00CA6D19" w:rsidRPr="00FE05D4">
        <w:t xml:space="preserve">submission </w:t>
      </w:r>
      <w:r w:rsidRPr="00FE05D4">
        <w:t xml:space="preserve">of </w:t>
      </w:r>
      <w:r w:rsidR="003953A0">
        <w:t xml:space="preserve">full </w:t>
      </w:r>
      <w:r w:rsidR="006459C5" w:rsidRPr="00FE05D4">
        <w:t>application</w:t>
      </w:r>
      <w:r w:rsidRPr="00FE05D4">
        <w:t xml:space="preserve">s to the addresses listed below, indicating clearly the reference of the </w:t>
      </w:r>
      <w:r w:rsidR="003953A0">
        <w:t>c</w:t>
      </w:r>
      <w:r w:rsidR="001D0C7B" w:rsidRPr="00FE05D4">
        <w:t xml:space="preserve">all for </w:t>
      </w:r>
      <w:r w:rsidR="003953A0">
        <w:t>p</w:t>
      </w:r>
      <w:r w:rsidR="001D0C7B" w:rsidRPr="00FE05D4">
        <w:t>roposals</w:t>
      </w:r>
      <w:r w:rsidRPr="00FE05D4">
        <w:t>:</w:t>
      </w:r>
    </w:p>
    <w:p w14:paraId="15567C8B" w14:textId="2AD19869" w:rsidR="006D790A" w:rsidRDefault="008B4806" w:rsidP="00342AFB">
      <w:pPr>
        <w:ind w:left="709"/>
      </w:pPr>
      <w:r w:rsidRPr="00FE05D4">
        <w:t>E-mail address:</w:t>
      </w:r>
      <w:r w:rsidR="002F3F27" w:rsidRPr="00FE05D4">
        <w:t xml:space="preserve"> </w:t>
      </w:r>
      <w:r w:rsidR="00176C8C" w:rsidRPr="005D0288">
        <w:rPr>
          <w:b/>
          <w:noProof/>
          <w:szCs w:val="22"/>
        </w:rPr>
        <w:t>EuropeAid-155232@ec.europa.eu</w:t>
      </w:r>
      <w:r w:rsidR="00176C8C" w:rsidRPr="00807DAF" w:rsidDel="00176C8C">
        <w:rPr>
          <w:highlight w:val="lightGray"/>
        </w:rPr>
        <w:t xml:space="preserve"> </w:t>
      </w:r>
    </w:p>
    <w:p w14:paraId="1A36F70E" w14:textId="31F49087" w:rsidR="007C4720" w:rsidRPr="00FE05D4" w:rsidRDefault="007C4720" w:rsidP="009834A7">
      <w:r w:rsidRPr="00FE05D4">
        <w:t>The Contracting Authority has no obligation to provide clarifications to questions received after this date.</w:t>
      </w:r>
    </w:p>
    <w:p w14:paraId="49B0956C" w14:textId="77777777" w:rsidR="008B4806" w:rsidRPr="00FE05D4" w:rsidRDefault="008B4806" w:rsidP="00203ABF">
      <w:r w:rsidRPr="00FE05D4">
        <w:t xml:space="preserve">Replies will be given no later than 11 days before the deadline for the </w:t>
      </w:r>
      <w:r w:rsidR="00CA6D19" w:rsidRPr="00FE05D4">
        <w:t xml:space="preserve">submission </w:t>
      </w:r>
      <w:r w:rsidRPr="00FE05D4">
        <w:t xml:space="preserve">of </w:t>
      </w:r>
      <w:r w:rsidR="006459C5" w:rsidRPr="00FE05D4">
        <w:t>application</w:t>
      </w:r>
      <w:r w:rsidRPr="00FE05D4">
        <w:t xml:space="preserve">s. </w:t>
      </w:r>
    </w:p>
    <w:p w14:paraId="16613910" w14:textId="77777777" w:rsidR="00376E92" w:rsidRPr="00FE05D4" w:rsidRDefault="0040484C" w:rsidP="00203ABF">
      <w:r w:rsidRPr="00FE05D4">
        <w:t>To ensure</w:t>
      </w:r>
      <w:r w:rsidR="008B4806" w:rsidRPr="00FE05D4">
        <w:t xml:space="preserve"> equal treatment of applicants, the Contracting Authority cannot give a prior opinion on the eligibility of </w:t>
      </w:r>
      <w:r w:rsidR="00B738FE">
        <w:t>lead a</w:t>
      </w:r>
      <w:r w:rsidR="008B4806" w:rsidRPr="00FE05D4">
        <w:t>pplicant</w:t>
      </w:r>
      <w:r w:rsidR="000D40CC" w:rsidRPr="00FE05D4">
        <w:t>s</w:t>
      </w:r>
      <w:r w:rsidR="008B4806" w:rsidRPr="00FE05D4">
        <w:t xml:space="preserve">, </w:t>
      </w:r>
      <w:r w:rsidR="003953A0">
        <w:t xml:space="preserve">co-applicants, </w:t>
      </w:r>
      <w:r w:rsidR="000D40CC" w:rsidRPr="00FE05D4">
        <w:t xml:space="preserve">affiliated </w:t>
      </w:r>
      <w:proofErr w:type="gramStart"/>
      <w:r w:rsidR="000D40CC" w:rsidRPr="00FE05D4">
        <w:t>entity(</w:t>
      </w:r>
      <w:proofErr w:type="spellStart"/>
      <w:proofErr w:type="gramEnd"/>
      <w:r w:rsidR="000D40CC" w:rsidRPr="00FE05D4">
        <w:t>ies</w:t>
      </w:r>
      <w:proofErr w:type="spellEnd"/>
      <w:r w:rsidR="000D40CC" w:rsidRPr="00FE05D4">
        <w:t xml:space="preserve">), </w:t>
      </w:r>
      <w:r w:rsidR="008B4806" w:rsidRPr="00FE05D4">
        <w:t>or an action.</w:t>
      </w:r>
    </w:p>
    <w:p w14:paraId="2AD6D2B6" w14:textId="268CB5CF" w:rsidR="00A46A3B" w:rsidRDefault="00376E92" w:rsidP="00203ABF">
      <w:pPr>
        <w:rPr>
          <w:highlight w:val="lightGray"/>
        </w:rPr>
      </w:pPr>
      <w:r w:rsidRPr="00FE05D4">
        <w:t>No individual replies will be given to questions. All questions and answers as well as other important notices to applicants during the course of the evaluation procedure</w:t>
      </w:r>
      <w:r w:rsidR="008B4806" w:rsidRPr="00FE05D4">
        <w:t xml:space="preserve">, will be published on the </w:t>
      </w:r>
      <w:proofErr w:type="spellStart"/>
      <w:r w:rsidR="00FA00EC">
        <w:t>EuropeAid</w:t>
      </w:r>
      <w:proofErr w:type="spellEnd"/>
      <w:r w:rsidR="00FA00EC">
        <w:t xml:space="preserve"> </w:t>
      </w:r>
      <w:r w:rsidR="008B4806" w:rsidRPr="00FE05D4">
        <w:t>website</w:t>
      </w:r>
      <w:r w:rsidR="009C3DFC" w:rsidRPr="00FE05D4">
        <w:t xml:space="preserve"> </w:t>
      </w:r>
      <w:hyperlink r:id="rId28" w:history="1">
        <w:r w:rsidR="00D0109C" w:rsidRPr="00FE05D4">
          <w:rPr>
            <w:rStyle w:val="Hyperlink"/>
          </w:rPr>
          <w:t>https://webgate.ec.europa.eu/europeaid/online-services/index.cfm?do=publi.welcome</w:t>
        </w:r>
      </w:hyperlink>
      <w:r w:rsidR="00DD4328">
        <w:t>, as appropriate</w:t>
      </w:r>
      <w:r w:rsidR="009C3DFC" w:rsidRPr="00FE05D4">
        <w:t>.</w:t>
      </w:r>
      <w:r w:rsidR="002128D0" w:rsidRPr="00FE05D4">
        <w:t xml:space="preserve"> It is therefore </w:t>
      </w:r>
      <w:r w:rsidR="0040484C" w:rsidRPr="00FE05D4">
        <w:t>advisable</w:t>
      </w:r>
      <w:r w:rsidR="002128D0" w:rsidRPr="00FE05D4">
        <w:t xml:space="preserve"> to consult the abovementioned website</w:t>
      </w:r>
      <w:r w:rsidR="0040484C" w:rsidRPr="00FE05D4">
        <w:t xml:space="preserve"> regularly</w:t>
      </w:r>
      <w:r w:rsidR="002128D0" w:rsidRPr="00FE05D4">
        <w:t xml:space="preserve"> in order to be informed of the questions and answers published.</w:t>
      </w:r>
    </w:p>
    <w:p w14:paraId="0E5E56EE" w14:textId="7DC7A181" w:rsidR="00AE11A8" w:rsidRDefault="00A46A3B" w:rsidP="00203ABF">
      <w:r w:rsidRPr="00FE05D4">
        <w:t xml:space="preserve">All questions related to registration in PADOR or the online submission via PROSPECT should be addressed to the IT helpdesk </w:t>
      </w:r>
      <w:r w:rsidR="00924D19">
        <w:rPr>
          <w:b/>
        </w:rPr>
        <w:t>via the online support form in PROSPECT</w:t>
      </w:r>
      <w:r w:rsidR="00D95814">
        <w:rPr>
          <w:b/>
        </w:rPr>
        <w:t>.</w:t>
      </w:r>
      <w:r w:rsidR="00924D19">
        <w:t xml:space="preserve"> </w:t>
      </w:r>
      <w:r>
        <w:t>Please note that the working languages of the IT support are: English French and Spanish. Therefore users are invited to send their questions in English, French or Spanish should they wish to benefit from an optimum response time</w:t>
      </w:r>
      <w:r w:rsidR="00AE11A8">
        <w:t>.</w:t>
      </w:r>
    </w:p>
    <w:p w14:paraId="54398E86" w14:textId="77777777" w:rsidR="00FB4811" w:rsidRPr="00807DAF" w:rsidRDefault="00FB4811" w:rsidP="00203ABF">
      <w:pPr>
        <w:rPr>
          <w:highlight w:val="lightGray"/>
        </w:rPr>
      </w:pPr>
      <w:r>
        <w:rPr>
          <w:highlight w:val="lightGray"/>
        </w:rPr>
        <w:br w:type="page"/>
      </w:r>
    </w:p>
    <w:p w14:paraId="3F1D8F02" w14:textId="77777777" w:rsidR="0007408E" w:rsidRPr="00807DAF" w:rsidRDefault="0007408E" w:rsidP="000C1BF8">
      <w:pPr>
        <w:pStyle w:val="Guidelines2"/>
        <w:rPr>
          <w:i/>
        </w:rPr>
      </w:pPr>
      <w:bookmarkStart w:id="31" w:name="_Toc40507653"/>
      <w:bookmarkStart w:id="32" w:name="_Toc487024652"/>
      <w:r w:rsidRPr="00807DAF">
        <w:t>Evaluation and selection of applications</w:t>
      </w:r>
      <w:bookmarkEnd w:id="31"/>
      <w:bookmarkEnd w:id="32"/>
    </w:p>
    <w:p w14:paraId="6C0421E1" w14:textId="77777777" w:rsidR="0007408E" w:rsidRPr="00807DAF" w:rsidRDefault="0007408E" w:rsidP="00203ABF">
      <w:r w:rsidRPr="00807DAF">
        <w:t xml:space="preserve">Applications will be examined and evaluated by the </w:t>
      </w:r>
      <w:r w:rsidR="009D3054" w:rsidRPr="00807DAF">
        <w:t>C</w:t>
      </w:r>
      <w:r w:rsidRPr="00807DAF">
        <w:t xml:space="preserve">ontracting </w:t>
      </w:r>
      <w:r w:rsidR="009D3054" w:rsidRPr="00807DAF">
        <w:t>A</w:t>
      </w:r>
      <w:r w:rsidRPr="00807DAF">
        <w:t xml:space="preserve">uthority with the possible assistance of external assessors. </w:t>
      </w:r>
      <w:r w:rsidR="003953A0">
        <w:t>All a</w:t>
      </w:r>
      <w:r w:rsidR="00A46A3B">
        <w:t>pplications</w:t>
      </w:r>
      <w:r w:rsidR="00A46A3B" w:rsidRPr="00807DAF">
        <w:t xml:space="preserve"> </w:t>
      </w:r>
      <w:r w:rsidRPr="00807DAF">
        <w:t xml:space="preserve">will be assessed according to the following </w:t>
      </w:r>
      <w:r w:rsidR="00C67E04" w:rsidRPr="00807DAF">
        <w:t>steps</w:t>
      </w:r>
      <w:r w:rsidR="00671019" w:rsidRPr="00807DAF">
        <w:t xml:space="preserve"> and criteria</w:t>
      </w:r>
      <w:r w:rsidR="00E17C2A" w:rsidRPr="00807DAF">
        <w:t>.</w:t>
      </w:r>
    </w:p>
    <w:p w14:paraId="7594B2FD" w14:textId="77777777" w:rsidR="00FB4811" w:rsidRDefault="00050E48" w:rsidP="00FB4811">
      <w:r w:rsidRPr="00807DAF">
        <w:t xml:space="preserve">If the examination of the application reveals that the proposed action does not meet the </w:t>
      </w:r>
      <w:r w:rsidRPr="00807DAF">
        <w:rPr>
          <w:u w:val="single"/>
        </w:rPr>
        <w:t>eligibility criteria</w:t>
      </w:r>
      <w:r w:rsidRPr="00807DAF">
        <w:t xml:space="preserve"> stated in </w:t>
      </w:r>
      <w:r w:rsidR="003953A0">
        <w:t>section</w:t>
      </w:r>
      <w:r w:rsidR="003953A0" w:rsidRPr="00807DAF">
        <w:t xml:space="preserve"> </w:t>
      </w:r>
      <w:r w:rsidRPr="00807DAF">
        <w:t xml:space="preserve">2.1, the application </w:t>
      </w:r>
      <w:r w:rsidR="001151FE" w:rsidRPr="00807DAF">
        <w:t xml:space="preserve">will </w:t>
      </w:r>
      <w:r w:rsidR="00FB4811">
        <w:t>be rejected on this sole basis.</w:t>
      </w:r>
    </w:p>
    <w:p w14:paraId="58D97325" w14:textId="77777777" w:rsidR="00FA546C" w:rsidRDefault="00FA546C" w:rsidP="00FB4811">
      <w:pPr>
        <w:rPr>
          <w:b/>
          <w:sz w:val="24"/>
          <w:szCs w:val="24"/>
        </w:rPr>
      </w:pPr>
    </w:p>
    <w:p w14:paraId="64A396A8" w14:textId="6CE2EE36" w:rsidR="0007408E" w:rsidRPr="00FB4811" w:rsidRDefault="0059080E" w:rsidP="00FB4811">
      <w:r w:rsidRPr="00807DAF">
        <w:rPr>
          <w:b/>
          <w:sz w:val="24"/>
          <w:szCs w:val="24"/>
        </w:rPr>
        <w:t>STEP</w:t>
      </w:r>
      <w:r w:rsidR="009A51CA" w:rsidRPr="00807DAF">
        <w:rPr>
          <w:b/>
          <w:sz w:val="24"/>
          <w:szCs w:val="24"/>
        </w:rPr>
        <w:t xml:space="preserve"> 1</w:t>
      </w:r>
      <w:r w:rsidRPr="00807DAF">
        <w:rPr>
          <w:b/>
          <w:sz w:val="24"/>
          <w:szCs w:val="24"/>
        </w:rPr>
        <w:t>:</w:t>
      </w:r>
      <w:r w:rsidR="005D7AF3" w:rsidRPr="00807DAF">
        <w:rPr>
          <w:b/>
          <w:sz w:val="24"/>
          <w:szCs w:val="24"/>
        </w:rPr>
        <w:tab/>
      </w:r>
      <w:r w:rsidR="004E3F52">
        <w:rPr>
          <w:b/>
          <w:sz w:val="24"/>
          <w:szCs w:val="24"/>
        </w:rPr>
        <w:t xml:space="preserve">OPENING &amp; ADMINISTRATIVE CHECKS AND </w:t>
      </w:r>
      <w:r w:rsidR="008A5CD8" w:rsidRPr="00807DAF">
        <w:rPr>
          <w:b/>
          <w:sz w:val="24"/>
          <w:szCs w:val="24"/>
        </w:rPr>
        <w:t>CONCEPT NOTE EVALUATION</w:t>
      </w:r>
    </w:p>
    <w:p w14:paraId="72D7A9E2" w14:textId="77777777" w:rsidR="00402677" w:rsidRPr="00807DAF" w:rsidRDefault="00656FB1" w:rsidP="006F280A">
      <w:r>
        <w:t>During the opening</w:t>
      </w:r>
      <w:r w:rsidR="001551F8">
        <w:rPr>
          <w:rStyle w:val="FootnoteReference"/>
        </w:rPr>
        <w:footnoteReference w:id="40"/>
      </w:r>
      <w:r>
        <w:t xml:space="preserve"> and administrative check</w:t>
      </w:r>
      <w:r w:rsidR="000C06B6">
        <w:t xml:space="preserve"> </w:t>
      </w:r>
      <w:r w:rsidR="00250A0E">
        <w:t xml:space="preserve">(including </w:t>
      </w:r>
      <w:r w:rsidR="000C06B6">
        <w:t>the eligibility check of the action</w:t>
      </w:r>
      <w:r w:rsidR="00250A0E">
        <w:t>)</w:t>
      </w:r>
      <w:r w:rsidR="000C06B6">
        <w:t xml:space="preserve"> </w:t>
      </w:r>
      <w:r>
        <w:t>t</w:t>
      </w:r>
      <w:r w:rsidR="0059080E" w:rsidRPr="00807DAF">
        <w:t>he following will be assessed:</w:t>
      </w:r>
    </w:p>
    <w:p w14:paraId="569D30CC" w14:textId="77777777" w:rsidR="0059080E" w:rsidRPr="00807DAF" w:rsidRDefault="002110A1" w:rsidP="007A0900">
      <w:pPr>
        <w:numPr>
          <w:ilvl w:val="2"/>
          <w:numId w:val="26"/>
        </w:numPr>
        <w:ind w:left="709"/>
      </w:pPr>
      <w:r>
        <w:t>If the deadline has been met. Otherwise</w:t>
      </w:r>
      <w:r w:rsidR="00E56448" w:rsidRPr="00807DAF">
        <w:t xml:space="preserve">, </w:t>
      </w:r>
      <w:r w:rsidR="0059080E" w:rsidRPr="00807DAF">
        <w:t xml:space="preserve">the </w:t>
      </w:r>
      <w:r w:rsidR="006459C5" w:rsidRPr="00807DAF">
        <w:t>application</w:t>
      </w:r>
      <w:r w:rsidR="0059080E" w:rsidRPr="00807DAF">
        <w:t xml:space="preserve"> will</w:t>
      </w:r>
      <w:r w:rsidR="008E27C2" w:rsidRPr="00807DAF">
        <w:t xml:space="preserve"> </w:t>
      </w:r>
      <w:r w:rsidR="00607F60" w:rsidRPr="00807DAF">
        <w:t xml:space="preserve">be </w:t>
      </w:r>
      <w:r w:rsidRPr="00807DAF">
        <w:t xml:space="preserve">automatically </w:t>
      </w:r>
      <w:r w:rsidR="004C44FA" w:rsidRPr="00807DAF">
        <w:t>rejected</w:t>
      </w:r>
      <w:r w:rsidR="008E27C2" w:rsidRPr="00807DAF">
        <w:t>.</w:t>
      </w:r>
    </w:p>
    <w:p w14:paraId="6765D8F3" w14:textId="77777777" w:rsidR="0059080E" w:rsidRPr="00807DAF" w:rsidRDefault="002110A1" w:rsidP="007A0900">
      <w:pPr>
        <w:numPr>
          <w:ilvl w:val="2"/>
          <w:numId w:val="26"/>
        </w:numPr>
        <w:ind w:left="709"/>
      </w:pPr>
      <w:r>
        <w:t>If t</w:t>
      </w:r>
      <w:r w:rsidR="007A3169" w:rsidRPr="00FB4811">
        <w:t>he</w:t>
      </w:r>
      <w:r w:rsidR="00557553">
        <w:t xml:space="preserve"> </w:t>
      </w:r>
      <w:r w:rsidR="003953A0">
        <w:t>c</w:t>
      </w:r>
      <w:r w:rsidR="0084479D" w:rsidRPr="00FB4811">
        <w:t xml:space="preserve">oncept </w:t>
      </w:r>
      <w:r w:rsidR="003953A0">
        <w:t>n</w:t>
      </w:r>
      <w:r w:rsidR="0084479D" w:rsidRPr="00FB4811">
        <w:t>ote</w:t>
      </w:r>
      <w:r w:rsidR="006B6FC1" w:rsidRPr="00807DAF">
        <w:t xml:space="preserve"> satisfies all the criteria </w:t>
      </w:r>
      <w:r w:rsidR="00BD4B21" w:rsidRPr="00807DAF">
        <w:t xml:space="preserve">specified in </w:t>
      </w:r>
      <w:r w:rsidR="006B6FC1" w:rsidRPr="00807DAF">
        <w:t xml:space="preserve">the </w:t>
      </w:r>
      <w:r w:rsidR="003953A0">
        <w:t>c</w:t>
      </w:r>
      <w:r w:rsidR="007A3169" w:rsidRPr="00807DAF">
        <w:t xml:space="preserve">hecklist </w:t>
      </w:r>
      <w:r w:rsidR="00BC4288">
        <w:t xml:space="preserve">in </w:t>
      </w:r>
      <w:r w:rsidR="00B51978">
        <w:t>the instructions included in</w:t>
      </w:r>
      <w:r w:rsidR="00C727EC" w:rsidRPr="00557553">
        <w:t xml:space="preserve"> </w:t>
      </w:r>
      <w:r w:rsidR="001F2AFE">
        <w:t>Annex A.1</w:t>
      </w:r>
      <w:r w:rsidR="005913EB" w:rsidRPr="00807DAF">
        <w:t>.</w:t>
      </w:r>
      <w:r w:rsidR="00013EF5">
        <w:t xml:space="preserve"> This includes also an assessment of the eligibility of the action. </w:t>
      </w:r>
      <w:r w:rsidR="00962588" w:rsidRPr="00807DAF">
        <w:t xml:space="preserve"> </w:t>
      </w:r>
      <w:r w:rsidR="0059080E" w:rsidRPr="00807DAF">
        <w:t xml:space="preserve">If any of the </w:t>
      </w:r>
      <w:r w:rsidR="00B85A17" w:rsidRPr="00807DAF">
        <w:t xml:space="preserve">requested </w:t>
      </w:r>
      <w:r w:rsidR="0059080E" w:rsidRPr="00807DAF">
        <w:t xml:space="preserve">information is missing or </w:t>
      </w:r>
      <w:r w:rsidR="004C44FA" w:rsidRPr="00807DAF">
        <w:t xml:space="preserve">is </w:t>
      </w:r>
      <w:r w:rsidR="0059080E" w:rsidRPr="00807DAF">
        <w:t xml:space="preserve">incorrect, the </w:t>
      </w:r>
      <w:r w:rsidR="006459C5" w:rsidRPr="00807DAF">
        <w:t>application</w:t>
      </w:r>
      <w:r w:rsidR="0059080E" w:rsidRPr="00807DAF">
        <w:t xml:space="preserve"> </w:t>
      </w:r>
      <w:r w:rsidR="0087633A" w:rsidRPr="00807DAF">
        <w:t>may</w:t>
      </w:r>
      <w:r w:rsidR="007A3169" w:rsidRPr="00807DAF">
        <w:t xml:space="preserve"> </w:t>
      </w:r>
      <w:r w:rsidR="0059080E" w:rsidRPr="00807DAF">
        <w:t xml:space="preserve">be rejected on that </w:t>
      </w:r>
      <w:r w:rsidR="0059080E" w:rsidRPr="00807DAF">
        <w:rPr>
          <w:b/>
          <w:u w:val="single"/>
        </w:rPr>
        <w:t>sole</w:t>
      </w:r>
      <w:r w:rsidR="00962588" w:rsidRPr="00807DAF">
        <w:t xml:space="preserve"> basis and the </w:t>
      </w:r>
      <w:r w:rsidR="006459C5" w:rsidRPr="00807DAF">
        <w:t>application</w:t>
      </w:r>
      <w:r w:rsidR="00962588" w:rsidRPr="00807DAF">
        <w:t xml:space="preserve"> will not be evaluated</w:t>
      </w:r>
      <w:r w:rsidR="00607F60" w:rsidRPr="00807DAF">
        <w:t xml:space="preserve"> further</w:t>
      </w:r>
      <w:r w:rsidR="00962588" w:rsidRPr="00807DAF">
        <w:t>.</w:t>
      </w:r>
    </w:p>
    <w:p w14:paraId="4940D01F" w14:textId="77777777" w:rsidR="00C727EC" w:rsidRPr="00807DAF" w:rsidRDefault="00400B42" w:rsidP="006F280A">
      <w:r w:rsidRPr="00807DAF">
        <w:t xml:space="preserve">The </w:t>
      </w:r>
      <w:r w:rsidR="00013EF5">
        <w:t>c</w:t>
      </w:r>
      <w:r w:rsidRPr="00807DAF">
        <w:t xml:space="preserve">oncept </w:t>
      </w:r>
      <w:r w:rsidR="00013EF5">
        <w:t>n</w:t>
      </w:r>
      <w:r w:rsidRPr="00807DAF">
        <w:t xml:space="preserve">otes that pass </w:t>
      </w:r>
      <w:r w:rsidR="00656FB1">
        <w:t>this</w:t>
      </w:r>
      <w:r w:rsidRPr="00807DAF">
        <w:t xml:space="preserve"> check will </w:t>
      </w:r>
      <w:r w:rsidR="00B83541" w:rsidRPr="00807DAF">
        <w:t>be evaluated on</w:t>
      </w:r>
      <w:r w:rsidRPr="00807DAF">
        <w:t xml:space="preserve"> the relevance </w:t>
      </w:r>
      <w:r w:rsidR="0002503B" w:rsidRPr="00807DAF">
        <w:t xml:space="preserve">and design </w:t>
      </w:r>
      <w:r w:rsidRPr="00807DAF">
        <w:t xml:space="preserve">of the </w:t>
      </w:r>
      <w:r w:rsidR="00E56448" w:rsidRPr="00807DAF">
        <w:t xml:space="preserve">proposed </w:t>
      </w:r>
      <w:r w:rsidRPr="00807DAF">
        <w:t>acti</w:t>
      </w:r>
      <w:r w:rsidR="002110A1">
        <w:t>on</w:t>
      </w:r>
      <w:r w:rsidR="0002503B" w:rsidRPr="00807DAF">
        <w:t>.</w:t>
      </w:r>
    </w:p>
    <w:p w14:paraId="567D1A0A" w14:textId="77777777" w:rsidR="00400B42" w:rsidRPr="00807DAF" w:rsidRDefault="00400B42" w:rsidP="006F280A">
      <w:r w:rsidRPr="00807DAF">
        <w:t xml:space="preserve">The </w:t>
      </w:r>
      <w:r w:rsidR="00BC1CD4">
        <w:t>c</w:t>
      </w:r>
      <w:r w:rsidRPr="00807DAF">
        <w:t xml:space="preserve">oncept </w:t>
      </w:r>
      <w:r w:rsidR="00BC1CD4">
        <w:t>n</w:t>
      </w:r>
      <w:r w:rsidRPr="00807DAF">
        <w:t>ote</w:t>
      </w:r>
      <w:r w:rsidR="002110A1">
        <w:t>s</w:t>
      </w:r>
      <w:r w:rsidRPr="00807DAF">
        <w:t xml:space="preserve"> will </w:t>
      </w:r>
      <w:r w:rsidR="00B83541" w:rsidRPr="00807DAF">
        <w:t>receive</w:t>
      </w:r>
      <w:r w:rsidRPr="00807DAF">
        <w:t xml:space="preserve"> an overall score out of 50 in</w:t>
      </w:r>
      <w:r w:rsidR="002110A1">
        <w:t xml:space="preserve"> line with</w:t>
      </w:r>
      <w:r w:rsidRPr="00807DAF">
        <w:t xml:space="preserve"> the </w:t>
      </w:r>
      <w:r w:rsidR="00B83541" w:rsidRPr="00807DAF">
        <w:t>e</w:t>
      </w:r>
      <w:r w:rsidRPr="00807DAF">
        <w:t xml:space="preserve">valuation </w:t>
      </w:r>
      <w:r w:rsidR="00B83541" w:rsidRPr="00807DAF">
        <w:t>g</w:t>
      </w:r>
      <w:r w:rsidRPr="00807DAF">
        <w:t xml:space="preserve">rid below. The evaluation </w:t>
      </w:r>
      <w:r w:rsidR="00B83541" w:rsidRPr="00807DAF">
        <w:t xml:space="preserve">will </w:t>
      </w:r>
      <w:r w:rsidRPr="00807DAF">
        <w:t xml:space="preserve">also </w:t>
      </w:r>
      <w:r w:rsidR="00B83541" w:rsidRPr="00807DAF">
        <w:t xml:space="preserve">check </w:t>
      </w:r>
      <w:r w:rsidR="002110A1">
        <w:t>the</w:t>
      </w:r>
      <w:r w:rsidRPr="00807DAF">
        <w:t xml:space="preserve"> compliance with the </w:t>
      </w:r>
      <w:r w:rsidR="007B5847" w:rsidRPr="00807DAF">
        <w:t xml:space="preserve">instructions </w:t>
      </w:r>
      <w:r w:rsidR="00C10F3E">
        <w:t>o</w:t>
      </w:r>
      <w:r w:rsidR="007B5847" w:rsidRPr="00807DAF">
        <w:t xml:space="preserve">n </w:t>
      </w:r>
      <w:r w:rsidR="00C10F3E">
        <w:t xml:space="preserve">how to complete </w:t>
      </w:r>
      <w:r w:rsidR="007B5847" w:rsidRPr="00807DAF">
        <w:t xml:space="preserve">the </w:t>
      </w:r>
      <w:r w:rsidR="00013EF5">
        <w:t>c</w:t>
      </w:r>
      <w:r w:rsidRPr="00807DAF">
        <w:t xml:space="preserve">oncept </w:t>
      </w:r>
      <w:r w:rsidR="00013EF5">
        <w:t>n</w:t>
      </w:r>
      <w:r w:rsidRPr="00807DAF">
        <w:t>ote</w:t>
      </w:r>
      <w:r w:rsidR="00C10F3E">
        <w:t xml:space="preserve"> </w:t>
      </w:r>
      <w:r w:rsidR="00A46A3B">
        <w:t>(</w:t>
      </w:r>
      <w:r w:rsidR="001F2AFE">
        <w:t>Annex A.1</w:t>
      </w:r>
      <w:r w:rsidR="00A46A3B">
        <w:t>)</w:t>
      </w:r>
      <w:r w:rsidR="007B5847" w:rsidRPr="00807DAF">
        <w:t>.</w:t>
      </w:r>
    </w:p>
    <w:p w14:paraId="185CD73D" w14:textId="77777777" w:rsidR="00ED5802" w:rsidRDefault="00ED5802" w:rsidP="006F280A">
      <w:bookmarkStart w:id="33" w:name="_Toc159211906"/>
      <w:bookmarkStart w:id="34" w:name="_Toc159212662"/>
      <w:bookmarkStart w:id="35" w:name="_Toc159212881"/>
      <w:bookmarkStart w:id="36" w:name="_Toc159213197"/>
      <w:r w:rsidRPr="00807DAF">
        <w:t xml:space="preserve">The </w:t>
      </w:r>
      <w:r w:rsidRPr="00807DAF">
        <w:rPr>
          <w:u w:val="single"/>
        </w:rPr>
        <w:t>evaluation criteria</w:t>
      </w:r>
      <w:r w:rsidRPr="00807DAF">
        <w:t xml:space="preserve"> are divided into headings and subheadings. Each subheading will be given a score between 1 and 5 </w:t>
      </w:r>
      <w:r w:rsidR="006F44FB" w:rsidRPr="00807DAF">
        <w:t>as follows</w:t>
      </w:r>
      <w:r w:rsidRPr="00807DAF">
        <w:t>: 1 = very poor; 2 = poor; 3 = adequate; 4 = good; 5 = very good.</w:t>
      </w:r>
    </w:p>
    <w:p w14:paraId="3CB9FE53" w14:textId="77777777" w:rsidR="00787504" w:rsidRDefault="00787504" w:rsidP="00787504">
      <w:pPr>
        <w:rPr>
          <w:b/>
        </w:rPr>
      </w:pPr>
      <w:r>
        <w:rPr>
          <w:b/>
        </w:rPr>
        <w:t>Evaluation Grid</w:t>
      </w:r>
    </w:p>
    <w:tbl>
      <w:tblPr>
        <w:tblW w:w="9990" w:type="dxa"/>
        <w:tblLayout w:type="fixed"/>
        <w:tblLook w:val="01E0" w:firstRow="1" w:lastRow="1" w:firstColumn="1" w:lastColumn="1" w:noHBand="0" w:noVBand="0"/>
      </w:tblPr>
      <w:tblGrid>
        <w:gridCol w:w="8682"/>
        <w:gridCol w:w="1308"/>
      </w:tblGrid>
      <w:tr w:rsidR="00787504" w14:paraId="6E38306A" w14:textId="77777777" w:rsidTr="003060CA">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5E94B6" w14:textId="77777777" w:rsidR="00787504" w:rsidRDefault="00787504">
            <w:pPr>
              <w:snapToGrid w:val="0"/>
              <w:rPr>
                <w:b/>
                <w:szCs w:val="22"/>
              </w:rPr>
            </w:pPr>
            <w:r>
              <w:rPr>
                <w:b/>
                <w:szCs w:val="22"/>
              </w:rPr>
              <w:t>Section</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7BECCC" w14:textId="77777777" w:rsidR="00787504" w:rsidRDefault="00787504" w:rsidP="00914877">
            <w:pPr>
              <w:snapToGrid w:val="0"/>
              <w:jc w:val="center"/>
              <w:rPr>
                <w:b/>
                <w:szCs w:val="22"/>
              </w:rPr>
            </w:pPr>
            <w:r>
              <w:rPr>
                <w:b/>
                <w:szCs w:val="22"/>
              </w:rPr>
              <w:t>Maximum Score</w:t>
            </w:r>
          </w:p>
        </w:tc>
      </w:tr>
      <w:tr w:rsidR="00787504" w14:paraId="22772235" w14:textId="77777777" w:rsidTr="003060CA">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A63855" w14:textId="77777777" w:rsidR="00787504" w:rsidRDefault="00787504">
            <w:pPr>
              <w:snapToGrid w:val="0"/>
              <w:jc w:val="left"/>
              <w:rPr>
                <w:b/>
                <w:szCs w:val="22"/>
              </w:rPr>
            </w:pPr>
            <w:r>
              <w:rPr>
                <w:b/>
                <w:szCs w:val="22"/>
              </w:rPr>
              <w:t>1. Relevance of the action</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0FCC0F64" w14:textId="77777777" w:rsidR="00787504" w:rsidRDefault="00787504" w:rsidP="00914877">
            <w:pPr>
              <w:snapToGrid w:val="0"/>
              <w:rPr>
                <w:b/>
                <w:szCs w:val="22"/>
              </w:rPr>
            </w:pPr>
            <w:r>
              <w:rPr>
                <w:b/>
                <w:noProof/>
                <w:szCs w:val="22"/>
              </w:rPr>
              <w:t>30</w:t>
            </w:r>
          </w:p>
        </w:tc>
      </w:tr>
      <w:tr w:rsidR="00787504" w14:paraId="53195800" w14:textId="77777777" w:rsidTr="00165188">
        <w:trPr>
          <w:trHeight w:val="625"/>
        </w:trPr>
        <w:tc>
          <w:tcPr>
            <w:tcW w:w="8682" w:type="dxa"/>
            <w:tcBorders>
              <w:top w:val="single" w:sz="4" w:space="0" w:color="auto"/>
              <w:left w:val="single" w:sz="4" w:space="0" w:color="auto"/>
              <w:bottom w:val="single" w:sz="4" w:space="0" w:color="auto"/>
              <w:right w:val="single" w:sz="4" w:space="0" w:color="auto"/>
            </w:tcBorders>
            <w:hideMark/>
          </w:tcPr>
          <w:p w14:paraId="3254306C" w14:textId="1762E2AF" w:rsidR="00787504" w:rsidRDefault="00787504" w:rsidP="00680128">
            <w:pPr>
              <w:snapToGrid w:val="0"/>
              <w:ind w:left="340" w:hanging="340"/>
              <w:rPr>
                <w:szCs w:val="22"/>
              </w:rPr>
            </w:pPr>
            <w:r>
              <w:rPr>
                <w:noProof/>
                <w:szCs w:val="22"/>
              </w:rPr>
              <w:t>1.1. How relevant is the proposal to the objectives and priorities of the Call for Proposals?</w:t>
            </w:r>
          </w:p>
          <w:p w14:paraId="4F680B8B" w14:textId="42C6D368" w:rsidR="00680128" w:rsidRDefault="00680128" w:rsidP="0019055C">
            <w:pPr>
              <w:snapToGrid w:val="0"/>
              <w:rPr>
                <w:noProof/>
                <w:szCs w:val="22"/>
              </w:rPr>
            </w:pPr>
            <w:r>
              <w:rPr>
                <w:szCs w:val="22"/>
              </w:rPr>
              <w:t>Includes the evaluation of the priority to proposals submitted by local organisations or regional networks/platforms of local organisations established in one of the countries w</w:t>
            </w:r>
            <w:r w:rsidR="00EA6895">
              <w:rPr>
                <w:szCs w:val="22"/>
              </w:rPr>
              <w:t xml:space="preserve">here the action is taking place </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658FA77D" w14:textId="77777777" w:rsidR="00787504" w:rsidRDefault="00787504" w:rsidP="00914877">
            <w:pPr>
              <w:snapToGrid w:val="0"/>
              <w:rPr>
                <w:szCs w:val="22"/>
                <w:u w:val="single"/>
              </w:rPr>
            </w:pPr>
            <w:r>
              <w:rPr>
                <w:noProof/>
                <w:szCs w:val="22"/>
              </w:rPr>
              <w:t>5x2**</w:t>
            </w:r>
          </w:p>
        </w:tc>
      </w:tr>
      <w:tr w:rsidR="00787504" w14:paraId="3A1CCD21" w14:textId="77777777" w:rsidTr="00165188">
        <w:trPr>
          <w:trHeight w:val="625"/>
        </w:trPr>
        <w:tc>
          <w:tcPr>
            <w:tcW w:w="8682" w:type="dxa"/>
            <w:tcBorders>
              <w:top w:val="single" w:sz="4" w:space="0" w:color="auto"/>
              <w:left w:val="single" w:sz="4" w:space="0" w:color="auto"/>
              <w:bottom w:val="single" w:sz="4" w:space="0" w:color="auto"/>
              <w:right w:val="single" w:sz="4" w:space="0" w:color="auto"/>
            </w:tcBorders>
            <w:hideMark/>
          </w:tcPr>
          <w:p w14:paraId="7A27D7D2" w14:textId="479F12F7" w:rsidR="00787504" w:rsidRDefault="00787504">
            <w:pPr>
              <w:snapToGrid w:val="0"/>
              <w:ind w:left="340" w:hanging="340"/>
              <w:rPr>
                <w:szCs w:val="22"/>
              </w:rPr>
            </w:pPr>
            <w:r>
              <w:rPr>
                <w:noProof/>
                <w:szCs w:val="22"/>
              </w:rPr>
              <w:t xml:space="preserve">1.2. How relevant to the particular needs and constraints of the target country(ies) or region(s) </w:t>
            </w:r>
            <w:r>
              <w:rPr>
                <w:noProof/>
                <w:szCs w:val="22"/>
              </w:rPr>
              <w:lastRenderedPageBreak/>
              <w:t>is the proposal (including synergy with other EU initiatives and avoidance of duplication)?</w:t>
            </w:r>
          </w:p>
          <w:p w14:paraId="0E51DFEE" w14:textId="658F7BF6" w:rsidR="00EF6F7C" w:rsidRDefault="00EF6F7C" w:rsidP="0019055C">
            <w:pPr>
              <w:snapToGrid w:val="0"/>
              <w:rPr>
                <w:szCs w:val="22"/>
              </w:rPr>
            </w:pPr>
            <w:r>
              <w:rPr>
                <w:szCs w:val="22"/>
              </w:rPr>
              <w:t>Includes the evaluation of the Rights Based approach Methodology</w:t>
            </w:r>
          </w:p>
        </w:tc>
        <w:tc>
          <w:tcPr>
            <w:tcW w:w="1308" w:type="dxa"/>
            <w:tcBorders>
              <w:top w:val="single" w:sz="4" w:space="0" w:color="auto"/>
              <w:left w:val="single" w:sz="4" w:space="0" w:color="auto"/>
              <w:bottom w:val="single" w:sz="4" w:space="0" w:color="auto"/>
              <w:right w:val="single" w:sz="4" w:space="0" w:color="auto"/>
            </w:tcBorders>
            <w:hideMark/>
          </w:tcPr>
          <w:p w14:paraId="76085E76" w14:textId="77777777" w:rsidR="00787504" w:rsidRDefault="00787504" w:rsidP="00914877">
            <w:pPr>
              <w:snapToGrid w:val="0"/>
              <w:rPr>
                <w:szCs w:val="22"/>
                <w:u w:val="single"/>
              </w:rPr>
            </w:pPr>
            <w:r>
              <w:rPr>
                <w:noProof/>
                <w:szCs w:val="22"/>
              </w:rPr>
              <w:lastRenderedPageBreak/>
              <w:t>5x2**</w:t>
            </w:r>
          </w:p>
        </w:tc>
      </w:tr>
      <w:tr w:rsidR="00787504" w14:paraId="05B6A95A" w14:textId="77777777" w:rsidTr="00165188">
        <w:trPr>
          <w:trHeight w:val="625"/>
        </w:trPr>
        <w:tc>
          <w:tcPr>
            <w:tcW w:w="8682" w:type="dxa"/>
            <w:tcBorders>
              <w:top w:val="single" w:sz="4" w:space="0" w:color="auto"/>
              <w:left w:val="single" w:sz="4" w:space="0" w:color="auto"/>
              <w:bottom w:val="single" w:sz="4" w:space="0" w:color="auto"/>
              <w:right w:val="single" w:sz="4" w:space="0" w:color="auto"/>
            </w:tcBorders>
            <w:hideMark/>
          </w:tcPr>
          <w:p w14:paraId="1146BCCA" w14:textId="77777777" w:rsidR="00787504" w:rsidRDefault="00787504">
            <w:pPr>
              <w:snapToGrid w:val="0"/>
              <w:ind w:left="340" w:hanging="340"/>
              <w:rPr>
                <w:szCs w:val="22"/>
              </w:rPr>
            </w:pPr>
            <w:r>
              <w:rPr>
                <w:noProof/>
                <w:szCs w:val="22"/>
              </w:rPr>
              <w:lastRenderedPageBreak/>
              <w:t>1.3. How clearly defined and strategically chosen are those involved (final beneficiaries, target groups)? Have their needs been clearly defined and does the proposal address them appropriately?</w:t>
            </w:r>
            <w:r>
              <w:rPr>
                <w:szCs w:val="22"/>
              </w:rPr>
              <w:t>*</w:t>
            </w:r>
          </w:p>
          <w:p w14:paraId="7DF632FE" w14:textId="2577472C" w:rsidR="00680128" w:rsidRDefault="00680128" w:rsidP="0019055C">
            <w:pPr>
              <w:snapToGrid w:val="0"/>
              <w:rPr>
                <w:szCs w:val="22"/>
              </w:rPr>
            </w:pPr>
            <w:r w:rsidRPr="00680128">
              <w:rPr>
                <w:szCs w:val="22"/>
              </w:rPr>
              <w:t xml:space="preserve">Includes the evaluation of the methodology for </w:t>
            </w:r>
            <w:r w:rsidR="00EA6895">
              <w:rPr>
                <w:szCs w:val="22"/>
              </w:rPr>
              <w:t>Financial Support to T</w:t>
            </w:r>
            <w:r w:rsidRPr="00680128">
              <w:rPr>
                <w:szCs w:val="22"/>
              </w:rPr>
              <w:t xml:space="preserve">hird </w:t>
            </w:r>
            <w:r w:rsidR="00EA6895">
              <w:rPr>
                <w:szCs w:val="22"/>
              </w:rPr>
              <w:t>P</w:t>
            </w:r>
            <w:r w:rsidRPr="00680128">
              <w:rPr>
                <w:szCs w:val="22"/>
              </w:rPr>
              <w:t>arties</w:t>
            </w:r>
            <w:r w:rsidR="00EA6895">
              <w:rPr>
                <w:szCs w:val="22"/>
              </w:rPr>
              <w:t xml:space="preserve"> (</w:t>
            </w:r>
            <w:proofErr w:type="spellStart"/>
            <w:r w:rsidR="00EA6895">
              <w:rPr>
                <w:szCs w:val="22"/>
              </w:rPr>
              <w:t>cfr</w:t>
            </w:r>
            <w:proofErr w:type="spellEnd"/>
            <w:r w:rsidR="00EA6895">
              <w:rPr>
                <w:szCs w:val="22"/>
              </w:rPr>
              <w:t>: section 2.4)</w:t>
            </w:r>
          </w:p>
        </w:tc>
        <w:tc>
          <w:tcPr>
            <w:tcW w:w="1308" w:type="dxa"/>
            <w:tcBorders>
              <w:top w:val="single" w:sz="4" w:space="0" w:color="auto"/>
              <w:left w:val="single" w:sz="4" w:space="0" w:color="auto"/>
              <w:bottom w:val="single" w:sz="4" w:space="0" w:color="auto"/>
              <w:right w:val="single" w:sz="4" w:space="0" w:color="auto"/>
            </w:tcBorders>
            <w:hideMark/>
          </w:tcPr>
          <w:p w14:paraId="690F2977" w14:textId="77777777" w:rsidR="00787504" w:rsidRDefault="00787504" w:rsidP="00914877">
            <w:pPr>
              <w:snapToGrid w:val="0"/>
              <w:rPr>
                <w:szCs w:val="22"/>
                <w:u w:val="single"/>
              </w:rPr>
            </w:pPr>
            <w:r>
              <w:rPr>
                <w:noProof/>
                <w:szCs w:val="22"/>
              </w:rPr>
              <w:t>5</w:t>
            </w:r>
          </w:p>
        </w:tc>
      </w:tr>
      <w:tr w:rsidR="00787504" w14:paraId="21EB298A" w14:textId="77777777" w:rsidTr="00165188">
        <w:trPr>
          <w:trHeight w:val="625"/>
        </w:trPr>
        <w:tc>
          <w:tcPr>
            <w:tcW w:w="8682" w:type="dxa"/>
            <w:tcBorders>
              <w:top w:val="single" w:sz="4" w:space="0" w:color="auto"/>
              <w:left w:val="single" w:sz="4" w:space="0" w:color="auto"/>
              <w:bottom w:val="single" w:sz="4" w:space="0" w:color="auto"/>
              <w:right w:val="single" w:sz="4" w:space="0" w:color="auto"/>
            </w:tcBorders>
            <w:hideMark/>
          </w:tcPr>
          <w:p w14:paraId="4B8BA37B" w14:textId="3CA75AD5" w:rsidR="00787504" w:rsidRDefault="00787504" w:rsidP="0019055C">
            <w:pPr>
              <w:snapToGrid w:val="0"/>
              <w:rPr>
                <w:szCs w:val="22"/>
              </w:rPr>
            </w:pPr>
            <w:r>
              <w:rPr>
                <w:noProof/>
                <w:szCs w:val="22"/>
              </w:rPr>
              <w:t xml:space="preserve">1.4. Does the proposal contain specific added-value elements, such as environmental issues, promotion of gender equality and equal opportunities, </w:t>
            </w:r>
            <w:r w:rsidR="00D64B16" w:rsidRPr="0019055C">
              <w:rPr>
                <w:noProof/>
                <w:szCs w:val="22"/>
              </w:rPr>
              <w:t>rights</w:t>
            </w:r>
            <w:r w:rsidRPr="00680128">
              <w:rPr>
                <w:noProof/>
                <w:szCs w:val="22"/>
              </w:rPr>
              <w:t xml:space="preserve"> of disabled people</w:t>
            </w:r>
            <w:r w:rsidR="00632E6A" w:rsidRPr="00680128">
              <w:rPr>
                <w:noProof/>
                <w:szCs w:val="22"/>
              </w:rPr>
              <w:t xml:space="preserve"> </w:t>
            </w:r>
            <w:r w:rsidR="00632E6A" w:rsidRPr="0019055C">
              <w:rPr>
                <w:noProof/>
                <w:szCs w:val="22"/>
              </w:rPr>
              <w:t>(including accessibility)</w:t>
            </w:r>
            <w:r w:rsidRPr="0019055C">
              <w:rPr>
                <w:noProof/>
                <w:szCs w:val="22"/>
              </w:rPr>
              <w:t>,</w:t>
            </w:r>
            <w:r w:rsidRPr="00680128">
              <w:rPr>
                <w:noProof/>
                <w:szCs w:val="22"/>
              </w:rPr>
              <w:t xml:space="preserve"> rights of minorities and rights of indigen</w:t>
            </w:r>
            <w:r>
              <w:rPr>
                <w:noProof/>
                <w:szCs w:val="22"/>
              </w:rPr>
              <w:t>ous peoples, or innovation and best practices and the other additional elements indicated under 1.2. of these guidelines?</w:t>
            </w:r>
          </w:p>
        </w:tc>
        <w:tc>
          <w:tcPr>
            <w:tcW w:w="1308" w:type="dxa"/>
            <w:tcBorders>
              <w:top w:val="single" w:sz="4" w:space="0" w:color="auto"/>
              <w:left w:val="single" w:sz="4" w:space="0" w:color="auto"/>
              <w:bottom w:val="single" w:sz="4" w:space="0" w:color="auto"/>
              <w:right w:val="single" w:sz="4" w:space="0" w:color="auto"/>
            </w:tcBorders>
            <w:hideMark/>
          </w:tcPr>
          <w:p w14:paraId="470B91F4" w14:textId="77777777" w:rsidR="00787504" w:rsidRDefault="00787504" w:rsidP="00914877">
            <w:pPr>
              <w:snapToGrid w:val="0"/>
              <w:rPr>
                <w:szCs w:val="22"/>
                <w:u w:val="single"/>
              </w:rPr>
            </w:pPr>
            <w:r>
              <w:rPr>
                <w:noProof/>
                <w:szCs w:val="22"/>
              </w:rPr>
              <w:t>5</w:t>
            </w:r>
          </w:p>
        </w:tc>
      </w:tr>
      <w:tr w:rsidR="00787504" w14:paraId="635549DE" w14:textId="77777777" w:rsidTr="00165188">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A55C30" w14:textId="77777777" w:rsidR="00787504" w:rsidRDefault="00787504">
            <w:pPr>
              <w:snapToGrid w:val="0"/>
              <w:jc w:val="left"/>
              <w:rPr>
                <w:b/>
                <w:szCs w:val="22"/>
              </w:rPr>
            </w:pPr>
            <w:r>
              <w:rPr>
                <w:b/>
                <w:szCs w:val="22"/>
              </w:rPr>
              <w:t xml:space="preserve">2. </w:t>
            </w:r>
            <w:r>
              <w:rPr>
                <w:b/>
                <w:noProof/>
                <w:szCs w:val="22"/>
              </w:rPr>
              <w:t>Design of the action</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43CE7B19" w14:textId="77777777" w:rsidR="00787504" w:rsidRDefault="00787504" w:rsidP="00914877">
            <w:pPr>
              <w:snapToGrid w:val="0"/>
              <w:rPr>
                <w:b/>
                <w:szCs w:val="22"/>
              </w:rPr>
            </w:pPr>
            <w:r>
              <w:rPr>
                <w:b/>
                <w:bCs/>
                <w:noProof/>
                <w:szCs w:val="22"/>
              </w:rPr>
              <w:t>20</w:t>
            </w:r>
          </w:p>
        </w:tc>
      </w:tr>
      <w:tr w:rsidR="00787504" w14:paraId="144C287C" w14:textId="77777777" w:rsidTr="00165188">
        <w:trPr>
          <w:trHeight w:val="285"/>
        </w:trPr>
        <w:tc>
          <w:tcPr>
            <w:tcW w:w="8682" w:type="dxa"/>
            <w:tcBorders>
              <w:top w:val="single" w:sz="4" w:space="0" w:color="auto"/>
              <w:left w:val="single" w:sz="4" w:space="0" w:color="auto"/>
              <w:bottom w:val="single" w:sz="4" w:space="0" w:color="auto"/>
              <w:right w:val="single" w:sz="4" w:space="0" w:color="auto"/>
            </w:tcBorders>
            <w:hideMark/>
          </w:tcPr>
          <w:p w14:paraId="59FFB70B" w14:textId="77777777" w:rsidR="00787504" w:rsidRDefault="00787504">
            <w:pPr>
              <w:snapToGrid w:val="0"/>
              <w:rPr>
                <w:szCs w:val="22"/>
              </w:rPr>
            </w:pPr>
            <w:r>
              <w:rPr>
                <w:noProof/>
                <w:szCs w:val="22"/>
              </w:rPr>
              <w:t>2.1. How coherent is the overall design of the action? In particular, does it reflect the analysis of the problems involved, take into account external factors and relevant stakeholders?</w:t>
            </w:r>
          </w:p>
        </w:tc>
        <w:tc>
          <w:tcPr>
            <w:tcW w:w="1308" w:type="dxa"/>
            <w:tcBorders>
              <w:top w:val="single" w:sz="4" w:space="0" w:color="auto"/>
              <w:left w:val="single" w:sz="4" w:space="0" w:color="auto"/>
              <w:bottom w:val="single" w:sz="4" w:space="0" w:color="auto"/>
              <w:right w:val="single" w:sz="4" w:space="0" w:color="auto"/>
            </w:tcBorders>
            <w:hideMark/>
          </w:tcPr>
          <w:p w14:paraId="421E0254" w14:textId="77777777" w:rsidR="00787504" w:rsidRDefault="00787504" w:rsidP="00914877">
            <w:pPr>
              <w:snapToGrid w:val="0"/>
              <w:rPr>
                <w:szCs w:val="22"/>
                <w:u w:val="single"/>
              </w:rPr>
            </w:pPr>
            <w:r>
              <w:rPr>
                <w:noProof/>
                <w:szCs w:val="22"/>
              </w:rPr>
              <w:t>5x2**</w:t>
            </w:r>
          </w:p>
        </w:tc>
      </w:tr>
      <w:tr w:rsidR="00787504" w14:paraId="174E5250" w14:textId="77777777" w:rsidTr="00165188">
        <w:trPr>
          <w:trHeight w:val="285"/>
        </w:trPr>
        <w:tc>
          <w:tcPr>
            <w:tcW w:w="8682" w:type="dxa"/>
            <w:tcBorders>
              <w:top w:val="single" w:sz="4" w:space="0" w:color="auto"/>
              <w:left w:val="single" w:sz="4" w:space="0" w:color="auto"/>
              <w:bottom w:val="single" w:sz="4" w:space="0" w:color="auto"/>
              <w:right w:val="single" w:sz="4" w:space="0" w:color="auto"/>
            </w:tcBorders>
            <w:hideMark/>
          </w:tcPr>
          <w:p w14:paraId="48B9D9F7" w14:textId="77777777" w:rsidR="00787504" w:rsidRDefault="00787504">
            <w:pPr>
              <w:snapToGrid w:val="0"/>
              <w:rPr>
                <w:szCs w:val="22"/>
              </w:rPr>
            </w:pPr>
            <w:r>
              <w:rPr>
                <w:noProof/>
                <w:szCs w:val="22"/>
              </w:rPr>
              <w:t>2.2. Is the action feasible and consistent in relation to the objectives and expected results?</w:t>
            </w:r>
          </w:p>
        </w:tc>
        <w:tc>
          <w:tcPr>
            <w:tcW w:w="1308" w:type="dxa"/>
            <w:tcBorders>
              <w:top w:val="single" w:sz="4" w:space="0" w:color="auto"/>
              <w:left w:val="single" w:sz="4" w:space="0" w:color="auto"/>
              <w:bottom w:val="single" w:sz="4" w:space="0" w:color="auto"/>
              <w:right w:val="single" w:sz="4" w:space="0" w:color="auto"/>
            </w:tcBorders>
            <w:hideMark/>
          </w:tcPr>
          <w:p w14:paraId="1CEBA60F" w14:textId="77777777" w:rsidR="00787504" w:rsidRDefault="00787504" w:rsidP="00914877">
            <w:pPr>
              <w:snapToGrid w:val="0"/>
              <w:rPr>
                <w:szCs w:val="22"/>
                <w:u w:val="single"/>
              </w:rPr>
            </w:pPr>
            <w:r>
              <w:rPr>
                <w:noProof/>
                <w:szCs w:val="22"/>
              </w:rPr>
              <w:t>5x2**</w:t>
            </w:r>
          </w:p>
        </w:tc>
      </w:tr>
      <w:tr w:rsidR="00165188" w14:paraId="09ED5746" w14:textId="77777777" w:rsidTr="003060CA">
        <w:trPr>
          <w:trHeight w:val="285"/>
        </w:trPr>
        <w:tc>
          <w:tcPr>
            <w:tcW w:w="8682" w:type="dxa"/>
            <w:tcBorders>
              <w:top w:val="single" w:sz="4" w:space="0" w:color="auto"/>
              <w:left w:val="single" w:sz="4" w:space="0" w:color="auto"/>
              <w:bottom w:val="single" w:sz="4" w:space="0" w:color="auto"/>
              <w:right w:val="single" w:sz="4" w:space="0" w:color="auto"/>
            </w:tcBorders>
            <w:shd w:val="clear" w:color="auto" w:fill="D9D9D9"/>
            <w:vAlign w:val="center"/>
          </w:tcPr>
          <w:p w14:paraId="32B877C4" w14:textId="77777777" w:rsidR="00165188" w:rsidRPr="008F32AC" w:rsidRDefault="00165188" w:rsidP="00B11758">
            <w:pPr>
              <w:jc w:val="left"/>
              <w:rPr>
                <w:szCs w:val="22"/>
              </w:rPr>
            </w:pPr>
            <w:r w:rsidRPr="00F75093">
              <w:rPr>
                <w:b/>
                <w:szCs w:val="22"/>
              </w:rPr>
              <w:t>Maximum total score</w:t>
            </w:r>
          </w:p>
        </w:tc>
        <w:tc>
          <w:tcPr>
            <w:tcW w:w="1308" w:type="dxa"/>
            <w:tcBorders>
              <w:top w:val="single" w:sz="4" w:space="0" w:color="auto"/>
              <w:left w:val="single" w:sz="4" w:space="0" w:color="auto"/>
              <w:bottom w:val="single" w:sz="4" w:space="0" w:color="auto"/>
              <w:right w:val="single" w:sz="4" w:space="0" w:color="auto"/>
            </w:tcBorders>
            <w:shd w:val="clear" w:color="auto" w:fill="D9D9D9"/>
          </w:tcPr>
          <w:p w14:paraId="69D77696" w14:textId="77777777" w:rsidR="00165188" w:rsidRPr="008F32AC" w:rsidRDefault="00165188" w:rsidP="00B11758">
            <w:pPr>
              <w:jc w:val="center"/>
              <w:rPr>
                <w:szCs w:val="22"/>
              </w:rPr>
            </w:pPr>
            <w:r w:rsidRPr="008F32AC">
              <w:rPr>
                <w:b/>
                <w:noProof/>
                <w:szCs w:val="22"/>
              </w:rPr>
              <w:t>50</w:t>
            </w:r>
          </w:p>
        </w:tc>
      </w:tr>
      <w:bookmarkEnd w:id="33"/>
      <w:bookmarkEnd w:id="34"/>
      <w:bookmarkEnd w:id="35"/>
      <w:bookmarkEnd w:id="36"/>
    </w:tbl>
    <w:p w14:paraId="7139D8CA" w14:textId="77777777" w:rsidR="00165188" w:rsidRDefault="00165188" w:rsidP="006F280A">
      <w:pPr>
        <w:rPr>
          <w:highlight w:val="yellow"/>
        </w:rPr>
      </w:pPr>
    </w:p>
    <w:p w14:paraId="2927133A" w14:textId="77777777" w:rsidR="00400B42" w:rsidRPr="00807DAF" w:rsidRDefault="00790B79" w:rsidP="006F280A">
      <w:r w:rsidRPr="00807DAF">
        <w:t>**the</w:t>
      </w:r>
      <w:r w:rsidR="000636F3" w:rsidRPr="00807DAF">
        <w:t>se scores are multiplied by 2 because of their importance</w:t>
      </w:r>
    </w:p>
    <w:p w14:paraId="5B195A02" w14:textId="77777777" w:rsidR="00400B42" w:rsidRPr="00807DAF" w:rsidRDefault="00400B42" w:rsidP="00EF6970">
      <w:r w:rsidRPr="00807DAF">
        <w:t xml:space="preserve">Concept </w:t>
      </w:r>
      <w:r w:rsidR="00BC1CD4">
        <w:t>n</w:t>
      </w:r>
      <w:r w:rsidRPr="00807DAF">
        <w:t xml:space="preserve">otes </w:t>
      </w:r>
      <w:r w:rsidR="00C85211" w:rsidRPr="00807DAF">
        <w:t>with</w:t>
      </w:r>
      <w:r w:rsidRPr="00807DAF">
        <w:t xml:space="preserve"> a score </w:t>
      </w:r>
      <w:r w:rsidR="00D90BA3">
        <w:t xml:space="preserve">lower than </w:t>
      </w:r>
      <w:r w:rsidR="00EF6970" w:rsidRPr="00EF6970">
        <w:t>30</w:t>
      </w:r>
      <w:r w:rsidR="00EF6970">
        <w:t xml:space="preserve"> </w:t>
      </w:r>
      <w:r w:rsidRPr="00807DAF">
        <w:t xml:space="preserve">will be </w:t>
      </w:r>
      <w:r w:rsidR="00D90BA3">
        <w:t>rejected.</w:t>
      </w:r>
    </w:p>
    <w:p w14:paraId="769ED291" w14:textId="2E7E6830" w:rsidR="00D90BA3" w:rsidRPr="00807DAF" w:rsidRDefault="00D90BA3" w:rsidP="00D90BA3">
      <w:r>
        <w:t xml:space="preserve">Concept </w:t>
      </w:r>
      <w:r w:rsidR="00BC1CD4">
        <w:t>n</w:t>
      </w:r>
      <w:r>
        <w:t>otes that reach the above threshold will be ranked</w:t>
      </w:r>
      <w:r w:rsidRPr="00807DAF">
        <w:t xml:space="preserve"> </w:t>
      </w:r>
      <w:r>
        <w:t xml:space="preserve">by score. The </w:t>
      </w:r>
      <w:r w:rsidR="005528B5">
        <w:t xml:space="preserve">highest scoring applications will be pre-selected until the limit of </w:t>
      </w:r>
      <w:r w:rsidR="005528B5" w:rsidRPr="0019055C">
        <w:t>at least 200%</w:t>
      </w:r>
      <w:r w:rsidR="005528B5" w:rsidRPr="00807DAF">
        <w:t xml:space="preserve"> of the available budget for this </w:t>
      </w:r>
      <w:r w:rsidR="00C8261E">
        <w:t>c</w:t>
      </w:r>
      <w:r w:rsidR="005528B5" w:rsidRPr="00807DAF">
        <w:t xml:space="preserve">all for </w:t>
      </w:r>
      <w:r w:rsidR="00C8261E">
        <w:t>p</w:t>
      </w:r>
      <w:r w:rsidR="005528B5" w:rsidRPr="00807DAF">
        <w:t>roposals</w:t>
      </w:r>
      <w:r w:rsidR="005528B5">
        <w:t xml:space="preserve"> is reached.</w:t>
      </w:r>
    </w:p>
    <w:p w14:paraId="46010EB2" w14:textId="77777777" w:rsidR="002E3EA1" w:rsidRDefault="00806B63" w:rsidP="002E3EA1">
      <w:r w:rsidRPr="00807DAF">
        <w:t>The amount of requested contributions of each concept note will be based on the indicative fi</w:t>
      </w:r>
      <w:r w:rsidR="002E3EA1">
        <w:t>nancial envelopes for each lot</w:t>
      </w:r>
      <w:r w:rsidR="00C8261E">
        <w:t>, where relevant</w:t>
      </w:r>
      <w:r w:rsidR="002E3EA1">
        <w:t>.</w:t>
      </w:r>
    </w:p>
    <w:p w14:paraId="319D8C78" w14:textId="77777777" w:rsidR="005B28F3" w:rsidRPr="00BC4288" w:rsidRDefault="00C8261E" w:rsidP="002E3EA1">
      <w:r>
        <w:t>Lead a</w:t>
      </w:r>
      <w:r w:rsidR="00787F03" w:rsidRPr="00807DAF">
        <w:t xml:space="preserve">pplicants </w:t>
      </w:r>
      <w:r w:rsidR="005528B5">
        <w:t xml:space="preserve">will receive a letter </w:t>
      </w:r>
      <w:r w:rsidR="00787F03" w:rsidRPr="00807DAF">
        <w:t xml:space="preserve">indicating </w:t>
      </w:r>
      <w:r w:rsidR="005528B5">
        <w:t>the reference number of their application</w:t>
      </w:r>
      <w:r w:rsidR="007F4C62">
        <w:t xml:space="preserve"> and the respective results. </w:t>
      </w:r>
      <w:r w:rsidR="00835BB4" w:rsidRPr="00FE05D4">
        <w:t>Th</w:t>
      </w:r>
      <w:r w:rsidR="005528B5">
        <w:t>is</w:t>
      </w:r>
      <w:r w:rsidR="00835BB4" w:rsidRPr="00FE05D4">
        <w:t xml:space="preserve"> l</w:t>
      </w:r>
      <w:r w:rsidR="005B28F3" w:rsidRPr="00FE05D4">
        <w:t xml:space="preserve">etter will </w:t>
      </w:r>
      <w:r w:rsidR="007F4C62" w:rsidRPr="00FE05D4">
        <w:t xml:space="preserve">automatically </w:t>
      </w:r>
      <w:r w:rsidR="005B28F3" w:rsidRPr="00FE05D4">
        <w:t>appear online in the PROSPECT profile of the</w:t>
      </w:r>
      <w:r w:rsidR="00D07C8C">
        <w:t xml:space="preserve"> </w:t>
      </w:r>
      <w:r>
        <w:t>lead a</w:t>
      </w:r>
      <w:r w:rsidR="005B28F3" w:rsidRPr="00FE05D4">
        <w:t xml:space="preserve">pplicant. </w:t>
      </w:r>
      <w:r>
        <w:t>Lead a</w:t>
      </w:r>
      <w:r w:rsidR="005B28F3" w:rsidRPr="00FE05D4">
        <w:t>pplicants who</w:t>
      </w:r>
      <w:r w:rsidR="00225B0E" w:rsidRPr="00FE05D4">
        <w:t xml:space="preserve">, in exceptional cases (see section </w:t>
      </w:r>
      <w:r w:rsidR="009458DC" w:rsidRPr="00FE05D4">
        <w:t>2.2</w:t>
      </w:r>
      <w:r w:rsidR="00225B0E" w:rsidRPr="00FE05D4">
        <w:t>), had to</w:t>
      </w:r>
      <w:r w:rsidR="005B28F3" w:rsidRPr="00FE05D4">
        <w:t xml:space="preserve"> submit their application </w:t>
      </w:r>
      <w:r w:rsidR="00D41D87" w:rsidRPr="00FE05D4">
        <w:t>by post</w:t>
      </w:r>
      <w:r w:rsidR="005B28F3" w:rsidRPr="00FE05D4">
        <w:t xml:space="preserve"> </w:t>
      </w:r>
      <w:r w:rsidR="00835BB4" w:rsidRPr="00FE05D4">
        <w:t>or hand-delivery</w:t>
      </w:r>
      <w:r w:rsidR="002225B0" w:rsidRPr="00FE05D4">
        <w:t xml:space="preserve"> </w:t>
      </w:r>
      <w:r w:rsidR="005B28F3" w:rsidRPr="00FE05D4">
        <w:t xml:space="preserve">will receive the letter by </w:t>
      </w:r>
      <w:r w:rsidR="00102BB7">
        <w:t xml:space="preserve">email or by </w:t>
      </w:r>
      <w:r w:rsidR="005B28F3" w:rsidRPr="00FE05D4">
        <w:t>post</w:t>
      </w:r>
      <w:r w:rsidR="008F7A94">
        <w:t xml:space="preserve"> if no e-mail address was provided</w:t>
      </w:r>
      <w:r w:rsidR="005B28F3" w:rsidRPr="00FE05D4">
        <w:t>.</w:t>
      </w:r>
    </w:p>
    <w:p w14:paraId="0422AE37" w14:textId="77777777" w:rsidR="00C76CF6" w:rsidRDefault="00400B42" w:rsidP="00C76CF6">
      <w:r w:rsidRPr="00FE05D4">
        <w:t>The pre</w:t>
      </w:r>
      <w:r w:rsidR="0040484C" w:rsidRPr="00FE05D4">
        <w:t>-</w:t>
      </w:r>
      <w:r w:rsidRPr="00FE05D4">
        <w:t xml:space="preserve">selected </w:t>
      </w:r>
      <w:r w:rsidR="00C8261E">
        <w:t>lead a</w:t>
      </w:r>
      <w:r w:rsidRPr="00FE05D4">
        <w:t xml:space="preserve">pplicants will subsequently be invited to submit full </w:t>
      </w:r>
      <w:r w:rsidR="006459C5" w:rsidRPr="00FE05D4">
        <w:t>application</w:t>
      </w:r>
      <w:r w:rsidRPr="00FE05D4">
        <w:t>s</w:t>
      </w:r>
      <w:r w:rsidR="00C76CF6" w:rsidRPr="00BC4288">
        <w:t>.</w:t>
      </w:r>
    </w:p>
    <w:p w14:paraId="4182268F" w14:textId="77777777" w:rsidR="007A3169" w:rsidRPr="00807DAF" w:rsidRDefault="007F4C62" w:rsidP="00C76CF6">
      <w:pPr>
        <w:rPr>
          <w:b/>
          <w:sz w:val="24"/>
          <w:szCs w:val="24"/>
        </w:rPr>
      </w:pPr>
      <w:r>
        <w:rPr>
          <w:b/>
          <w:sz w:val="24"/>
          <w:szCs w:val="24"/>
        </w:rPr>
        <w:t xml:space="preserve"> </w:t>
      </w:r>
      <w:r w:rsidR="00267E4F" w:rsidRPr="00807DAF">
        <w:rPr>
          <w:b/>
          <w:sz w:val="24"/>
          <w:szCs w:val="24"/>
        </w:rPr>
        <w:br w:type="page"/>
      </w:r>
      <w:r w:rsidR="009A51CA" w:rsidRPr="00807DAF">
        <w:rPr>
          <w:b/>
          <w:sz w:val="24"/>
          <w:szCs w:val="24"/>
        </w:rPr>
        <w:lastRenderedPageBreak/>
        <w:t xml:space="preserve">STEP </w:t>
      </w:r>
      <w:r w:rsidR="00B66332" w:rsidRPr="00807DAF">
        <w:rPr>
          <w:b/>
          <w:sz w:val="24"/>
          <w:szCs w:val="24"/>
        </w:rPr>
        <w:t>2</w:t>
      </w:r>
      <w:r w:rsidR="009A51CA" w:rsidRPr="00807DAF">
        <w:rPr>
          <w:b/>
          <w:sz w:val="24"/>
          <w:szCs w:val="24"/>
        </w:rPr>
        <w:t xml:space="preserve">: </w:t>
      </w:r>
      <w:r w:rsidR="00B51978">
        <w:rPr>
          <w:b/>
          <w:sz w:val="24"/>
          <w:szCs w:val="24"/>
        </w:rPr>
        <w:t xml:space="preserve">OPENING &amp; ADMINISTRATIVE CHECK AND </w:t>
      </w:r>
      <w:r w:rsidR="00C61B44" w:rsidRPr="00807DAF">
        <w:rPr>
          <w:b/>
          <w:sz w:val="24"/>
          <w:szCs w:val="24"/>
        </w:rPr>
        <w:t>EVALU</w:t>
      </w:r>
      <w:r w:rsidR="00AA6F1C" w:rsidRPr="00807DAF">
        <w:rPr>
          <w:b/>
          <w:sz w:val="24"/>
          <w:szCs w:val="24"/>
        </w:rPr>
        <w:t>A</w:t>
      </w:r>
      <w:r w:rsidR="00C61B44" w:rsidRPr="00807DAF">
        <w:rPr>
          <w:b/>
          <w:sz w:val="24"/>
          <w:szCs w:val="24"/>
        </w:rPr>
        <w:t xml:space="preserve">TION </w:t>
      </w:r>
      <w:r w:rsidR="001566CE" w:rsidRPr="00807DAF">
        <w:rPr>
          <w:b/>
          <w:sz w:val="24"/>
          <w:szCs w:val="24"/>
        </w:rPr>
        <w:t xml:space="preserve">OF THE </w:t>
      </w:r>
      <w:r w:rsidR="0084479D" w:rsidRPr="00807DAF">
        <w:rPr>
          <w:b/>
          <w:sz w:val="24"/>
          <w:szCs w:val="24"/>
        </w:rPr>
        <w:t xml:space="preserve">FULL </w:t>
      </w:r>
      <w:r w:rsidR="002A730B" w:rsidRPr="00807DAF">
        <w:rPr>
          <w:b/>
          <w:sz w:val="24"/>
          <w:szCs w:val="24"/>
        </w:rPr>
        <w:t>APPLICATION</w:t>
      </w:r>
      <w:r w:rsidR="0007408E" w:rsidRPr="00807DAF">
        <w:rPr>
          <w:b/>
          <w:sz w:val="24"/>
          <w:szCs w:val="24"/>
        </w:rPr>
        <w:t xml:space="preserve"> </w:t>
      </w:r>
    </w:p>
    <w:p w14:paraId="390E06BA" w14:textId="77777777" w:rsidR="00DA5F03" w:rsidRPr="00807DAF" w:rsidRDefault="00DA5F03" w:rsidP="007904B1">
      <w:r>
        <w:t>During the opening</w:t>
      </w:r>
      <w:r w:rsidR="001551F8">
        <w:rPr>
          <w:rStyle w:val="FootnoteReference"/>
        </w:rPr>
        <w:footnoteReference w:id="41"/>
      </w:r>
      <w:r>
        <w:t xml:space="preserve"> and administrative check </w:t>
      </w:r>
      <w:r w:rsidR="00250A0E">
        <w:t xml:space="preserve">(including </w:t>
      </w:r>
      <w:r w:rsidR="000C06B6">
        <w:t>the eligibility check of the action</w:t>
      </w:r>
      <w:r w:rsidR="00250A0E">
        <w:t>)</w:t>
      </w:r>
      <w:r w:rsidR="000C06B6">
        <w:t xml:space="preserve"> </w:t>
      </w:r>
      <w:r w:rsidR="008C18EE">
        <w:t xml:space="preserve">for full applications </w:t>
      </w:r>
      <w:r>
        <w:t>t</w:t>
      </w:r>
      <w:r w:rsidRPr="00807DAF">
        <w:t>he following will be assessed:</w:t>
      </w:r>
    </w:p>
    <w:p w14:paraId="6A24F20C" w14:textId="77777777" w:rsidR="008C18EE" w:rsidRPr="00807DAF" w:rsidRDefault="00A64C94" w:rsidP="007A0900">
      <w:pPr>
        <w:numPr>
          <w:ilvl w:val="2"/>
          <w:numId w:val="26"/>
        </w:numPr>
        <w:ind w:left="709"/>
      </w:pPr>
      <w:r>
        <w:rPr>
          <w:szCs w:val="24"/>
        </w:rPr>
        <w:t xml:space="preserve">If the </w:t>
      </w:r>
      <w:r w:rsidR="008C18EE" w:rsidRPr="00807DAF">
        <w:t>submission deadline</w:t>
      </w:r>
      <w:r>
        <w:t xml:space="preserve"> has been met</w:t>
      </w:r>
      <w:r w:rsidR="008C18EE" w:rsidRPr="00807DAF">
        <w:t xml:space="preserve">. </w:t>
      </w:r>
      <w:r>
        <w:t xml:space="preserve">Otherwise, </w:t>
      </w:r>
      <w:r w:rsidR="008C18EE" w:rsidRPr="00807DAF">
        <w:t>the application will automatically be rejected.</w:t>
      </w:r>
    </w:p>
    <w:p w14:paraId="2666A674" w14:textId="77777777" w:rsidR="008C18EE" w:rsidRPr="00807DAF" w:rsidRDefault="00A64C94" w:rsidP="007A0900">
      <w:pPr>
        <w:numPr>
          <w:ilvl w:val="2"/>
          <w:numId w:val="26"/>
        </w:numPr>
        <w:ind w:left="709"/>
      </w:pPr>
      <w:r>
        <w:t>If the</w:t>
      </w:r>
      <w:r w:rsidR="008C18EE">
        <w:t xml:space="preserve"> </w:t>
      </w:r>
      <w:r w:rsidR="000C06B6">
        <w:t>full application</w:t>
      </w:r>
      <w:r w:rsidR="008C18EE" w:rsidRPr="00807DAF">
        <w:t xml:space="preserve"> satisfies all the criteria specified in the </w:t>
      </w:r>
      <w:r w:rsidR="008C18EE">
        <w:t>c</w:t>
      </w:r>
      <w:r w:rsidR="008C18EE" w:rsidRPr="00807DAF">
        <w:t xml:space="preserve">hecklist </w:t>
      </w:r>
      <w:r w:rsidR="008C18EE">
        <w:t>in Annex A.</w:t>
      </w:r>
      <w:r w:rsidR="000C06B6">
        <w:t>2</w:t>
      </w:r>
      <w:r w:rsidR="008C18EE" w:rsidRPr="00807DAF">
        <w:t>.</w:t>
      </w:r>
      <w:r w:rsidR="008C18EE">
        <w:t xml:space="preserve"> This includes also an assessment of the eligibilit</w:t>
      </w:r>
      <w:r w:rsidR="00C0414D">
        <w:t>y of the action</w:t>
      </w:r>
      <w:r w:rsidR="008C18EE">
        <w:t xml:space="preserve">. </w:t>
      </w:r>
      <w:r w:rsidR="008C18EE" w:rsidRPr="00807DAF">
        <w:t xml:space="preserve"> If any of the requested information is missing or is incorrect, the application may be rejected on that </w:t>
      </w:r>
      <w:r w:rsidR="008C18EE" w:rsidRPr="00807DAF">
        <w:rPr>
          <w:b/>
          <w:u w:val="single"/>
        </w:rPr>
        <w:t>sole</w:t>
      </w:r>
      <w:r w:rsidR="008C18EE" w:rsidRPr="00807DAF">
        <w:t xml:space="preserve"> basis and the application will not be evaluated further.</w:t>
      </w:r>
    </w:p>
    <w:p w14:paraId="4B0C7FCA" w14:textId="77777777" w:rsidR="0007408E" w:rsidRPr="00807DAF" w:rsidRDefault="00560331" w:rsidP="00560331">
      <w:r w:rsidRPr="00807DAF">
        <w:t xml:space="preserve">The </w:t>
      </w:r>
      <w:r w:rsidR="00485439">
        <w:t>f</w:t>
      </w:r>
      <w:r>
        <w:t xml:space="preserve">ull </w:t>
      </w:r>
      <w:r w:rsidR="00485439">
        <w:t>a</w:t>
      </w:r>
      <w:r>
        <w:t>pplications</w:t>
      </w:r>
      <w:r w:rsidRPr="00807DAF">
        <w:t xml:space="preserve"> that pass </w:t>
      </w:r>
      <w:r>
        <w:t>this</w:t>
      </w:r>
      <w:r w:rsidRPr="00807DAF">
        <w:t xml:space="preserve"> check will be </w:t>
      </w:r>
      <w:r>
        <w:t xml:space="preserve">further </w:t>
      </w:r>
      <w:r w:rsidRPr="00807DAF">
        <w:t>evaluated</w:t>
      </w:r>
      <w:r>
        <w:t xml:space="preserve"> on their</w:t>
      </w:r>
      <w:r w:rsidR="00047C7D" w:rsidRPr="00807DAF">
        <w:t xml:space="preserve"> quality, including the proposed budget and </w:t>
      </w:r>
      <w:r>
        <w:t xml:space="preserve">the </w:t>
      </w:r>
      <w:r w:rsidR="00047C7D" w:rsidRPr="00807DAF">
        <w:t>capacity of the applicant</w:t>
      </w:r>
      <w:r w:rsidR="000D40CC" w:rsidRPr="00807DAF">
        <w:t>s</w:t>
      </w:r>
      <w:r w:rsidR="00047C7D" w:rsidRPr="00807DAF">
        <w:t xml:space="preserve"> and </w:t>
      </w:r>
      <w:r w:rsidR="000D40CC" w:rsidRPr="00807DAF">
        <w:t xml:space="preserve">affiliated </w:t>
      </w:r>
      <w:proofErr w:type="gramStart"/>
      <w:r w:rsidR="000D40CC" w:rsidRPr="00807DAF">
        <w:t>entity(</w:t>
      </w:r>
      <w:proofErr w:type="spellStart"/>
      <w:proofErr w:type="gramEnd"/>
      <w:r w:rsidR="000D40CC" w:rsidRPr="00807DAF">
        <w:t>ies</w:t>
      </w:r>
      <w:proofErr w:type="spellEnd"/>
      <w:r w:rsidR="000D40CC" w:rsidRPr="00807DAF">
        <w:t>)</w:t>
      </w:r>
      <w:r>
        <w:t>. The</w:t>
      </w:r>
      <w:r w:rsidR="00047C7D" w:rsidRPr="00807DAF">
        <w:t xml:space="preserve"> evaluation criteria </w:t>
      </w:r>
      <w:r>
        <w:t>used are presented i</w:t>
      </w:r>
      <w:r w:rsidR="00047C7D" w:rsidRPr="00807DAF">
        <w:t xml:space="preserve">n the </w:t>
      </w:r>
      <w:r w:rsidR="00F149E4" w:rsidRPr="00807DAF">
        <w:t>e</w:t>
      </w:r>
      <w:r w:rsidR="00047C7D" w:rsidRPr="00807DAF">
        <w:t xml:space="preserve">valuation </w:t>
      </w:r>
      <w:r w:rsidR="00F149E4" w:rsidRPr="00807DAF">
        <w:t>g</w:t>
      </w:r>
      <w:r w:rsidR="00047C7D" w:rsidRPr="00807DAF">
        <w:t>rid below. There are two types of evaluation criteria: selection and award criteria.</w:t>
      </w:r>
    </w:p>
    <w:p w14:paraId="398F4572" w14:textId="77777777" w:rsidR="0007408E" w:rsidRPr="00807DAF" w:rsidRDefault="0007408E" w:rsidP="006F280A">
      <w:r w:rsidRPr="00807DAF">
        <w:rPr>
          <w:b/>
          <w:u w:val="single"/>
        </w:rPr>
        <w:t>The selection criteria</w:t>
      </w:r>
      <w:r w:rsidRPr="00807DAF">
        <w:t xml:space="preserve"> help </w:t>
      </w:r>
      <w:r w:rsidR="00A66639" w:rsidRPr="00807DAF">
        <w:t xml:space="preserve">to </w:t>
      </w:r>
      <w:r w:rsidRPr="00807DAF">
        <w:t>evaluate the applicant</w:t>
      </w:r>
      <w:r w:rsidR="00E94856" w:rsidRPr="00807DAF">
        <w:t>(s)</w:t>
      </w:r>
      <w:r w:rsidR="00544E5D" w:rsidRPr="00807DAF">
        <w:t>'s</w:t>
      </w:r>
      <w:r w:rsidR="00FA2479" w:rsidRPr="00807DAF">
        <w:t xml:space="preserve"> and affiliated </w:t>
      </w:r>
      <w:proofErr w:type="gramStart"/>
      <w:r w:rsidR="00FA2479" w:rsidRPr="00807DAF">
        <w:t>en</w:t>
      </w:r>
      <w:r w:rsidR="00A8066A" w:rsidRPr="00807DAF">
        <w:t>t</w:t>
      </w:r>
      <w:r w:rsidR="00FA2479" w:rsidRPr="00807DAF">
        <w:t>ity(</w:t>
      </w:r>
      <w:proofErr w:type="spellStart"/>
      <w:proofErr w:type="gramEnd"/>
      <w:r w:rsidR="00FA2479" w:rsidRPr="00807DAF">
        <w:t>ies</w:t>
      </w:r>
      <w:proofErr w:type="spellEnd"/>
      <w:r w:rsidR="00FA2479" w:rsidRPr="00807DAF">
        <w:t>)</w:t>
      </w:r>
      <w:r w:rsidR="003664DD" w:rsidRPr="00807DAF">
        <w:t>'s</w:t>
      </w:r>
      <w:r w:rsidRPr="00807DAF">
        <w:t xml:space="preserve"> operational capacity</w:t>
      </w:r>
      <w:r w:rsidR="000C1624" w:rsidRPr="00807DAF">
        <w:t xml:space="preserve"> and the </w:t>
      </w:r>
      <w:r w:rsidR="00C8261E">
        <w:t>lead a</w:t>
      </w:r>
      <w:r w:rsidR="000C1624" w:rsidRPr="00807DAF">
        <w:t>pplicant</w:t>
      </w:r>
      <w:r w:rsidR="00544E5D" w:rsidRPr="00807DAF">
        <w:t>'s</w:t>
      </w:r>
      <w:r w:rsidR="000C1624" w:rsidRPr="00807DAF">
        <w:t xml:space="preserve"> financial capacity and </w:t>
      </w:r>
      <w:r w:rsidR="00560331">
        <w:t xml:space="preserve">are used to verify </w:t>
      </w:r>
      <w:r w:rsidRPr="00807DAF">
        <w:t>that they:</w:t>
      </w:r>
    </w:p>
    <w:p w14:paraId="4867F0D1" w14:textId="77777777" w:rsidR="0007408E" w:rsidRPr="00807DAF" w:rsidRDefault="0007408E" w:rsidP="007A0900">
      <w:pPr>
        <w:numPr>
          <w:ilvl w:val="0"/>
          <w:numId w:val="23"/>
        </w:numPr>
      </w:pPr>
      <w:r w:rsidRPr="00807DAF">
        <w:t xml:space="preserve">have stable and sufficient sources of finance to maintain their activity throughout the </w:t>
      </w:r>
      <w:r w:rsidR="00AA2065" w:rsidRPr="00807DAF">
        <w:t>proposed</w:t>
      </w:r>
      <w:r w:rsidRPr="00807DAF">
        <w:t xml:space="preserve"> action and, where appropriate, to participate in its funding</w:t>
      </w:r>
      <w:r w:rsidR="00F714D3">
        <w:t xml:space="preserve"> (this only applies to lead applicants)</w:t>
      </w:r>
      <w:r w:rsidR="002D73BA">
        <w:t>;</w:t>
      </w:r>
    </w:p>
    <w:p w14:paraId="568E69ED" w14:textId="77777777" w:rsidR="0007408E" w:rsidRPr="00807DAF" w:rsidRDefault="0007408E" w:rsidP="007A0900">
      <w:pPr>
        <w:numPr>
          <w:ilvl w:val="0"/>
          <w:numId w:val="23"/>
        </w:numPr>
      </w:pPr>
      <w:proofErr w:type="gramStart"/>
      <w:r w:rsidRPr="00807DAF">
        <w:t>have</w:t>
      </w:r>
      <w:proofErr w:type="gramEnd"/>
      <w:r w:rsidRPr="00807DAF">
        <w:t xml:space="preserve"> the </w:t>
      </w:r>
      <w:r w:rsidR="00543106" w:rsidRPr="00807DAF">
        <w:t>management ca</w:t>
      </w:r>
      <w:r w:rsidR="00833F09" w:rsidRPr="00807DAF">
        <w:t>p</w:t>
      </w:r>
      <w:r w:rsidR="00543106" w:rsidRPr="00807DAF">
        <w:t xml:space="preserve">acity, </w:t>
      </w:r>
      <w:r w:rsidRPr="00807DAF">
        <w:t xml:space="preserve">professional competencies and qualifications required to successfully complete the proposed action. This </w:t>
      </w:r>
      <w:r w:rsidR="00F714D3">
        <w:t xml:space="preserve">applies to applicants and </w:t>
      </w:r>
      <w:r w:rsidRPr="00807DAF">
        <w:t xml:space="preserve">to any </w:t>
      </w:r>
      <w:r w:rsidR="000C1624" w:rsidRPr="00807DAF">
        <w:t xml:space="preserve">affiliated </w:t>
      </w:r>
      <w:proofErr w:type="gramStart"/>
      <w:r w:rsidR="000C1624" w:rsidRPr="00807DAF">
        <w:t>entity(</w:t>
      </w:r>
      <w:proofErr w:type="spellStart"/>
      <w:proofErr w:type="gramEnd"/>
      <w:r w:rsidR="000C1624" w:rsidRPr="00807DAF">
        <w:t>ies</w:t>
      </w:r>
      <w:proofErr w:type="spellEnd"/>
      <w:r w:rsidR="000C1624" w:rsidRPr="00807DAF">
        <w:t>)</w:t>
      </w:r>
      <w:r w:rsidRPr="00807DAF">
        <w:t>.</w:t>
      </w:r>
    </w:p>
    <w:p w14:paraId="3082876F" w14:textId="77777777" w:rsidR="00D43CBF" w:rsidRPr="00807DAF" w:rsidRDefault="00D43CBF" w:rsidP="00485439">
      <w:r w:rsidRPr="007904B1">
        <w:t xml:space="preserve">For the purpose of the evaluation of the financial capacity, </w:t>
      </w:r>
      <w:r w:rsidR="00F80F37">
        <w:t>l</w:t>
      </w:r>
      <w:r w:rsidR="00C8261E">
        <w:t>ead a</w:t>
      </w:r>
      <w:r w:rsidRPr="007904B1">
        <w:t xml:space="preserve">pplicants must ensure that the relevant information and documents </w:t>
      </w:r>
      <w:r w:rsidR="00D95814">
        <w:t xml:space="preserve">(i.e. </w:t>
      </w:r>
      <w:r w:rsidR="00D95814" w:rsidRPr="0086420D">
        <w:rPr>
          <w:szCs w:val="22"/>
          <w:lang w:eastAsia="en-GB"/>
        </w:rPr>
        <w:t>accounts of the latest financial year</w:t>
      </w:r>
      <w:r w:rsidR="00D95814">
        <w:rPr>
          <w:szCs w:val="22"/>
          <w:lang w:eastAsia="en-GB"/>
        </w:rPr>
        <w:t xml:space="preserve"> and external audit report, where applicable</w:t>
      </w:r>
      <w:r w:rsidR="00D95814">
        <w:t xml:space="preserve">) </w:t>
      </w:r>
      <w:r w:rsidRPr="007904B1">
        <w:t>in their PADOR profile are up to date. If the information and documents in PADOR are outdated and do not allow for a proper evaluation of the financial capacity</w:t>
      </w:r>
      <w:r w:rsidR="00615E7D">
        <w:t>, the application may be rejected.</w:t>
      </w:r>
    </w:p>
    <w:p w14:paraId="1A927B1A" w14:textId="77777777" w:rsidR="0007408E" w:rsidRPr="00807DAF" w:rsidRDefault="0007408E" w:rsidP="006F280A">
      <w:r w:rsidRPr="00807DAF">
        <w:rPr>
          <w:b/>
          <w:u w:val="single"/>
        </w:rPr>
        <w:t>The award criteria</w:t>
      </w:r>
      <w:r w:rsidRPr="00807DAF">
        <w:t xml:space="preserve"> </w:t>
      </w:r>
      <w:r w:rsidR="006F44FB" w:rsidRPr="00807DAF">
        <w:t xml:space="preserve">help to evaluate </w:t>
      </w:r>
      <w:r w:rsidRPr="00807DAF">
        <w:t xml:space="preserve">the quality of the </w:t>
      </w:r>
      <w:r w:rsidR="006459C5" w:rsidRPr="00807DAF">
        <w:t>application</w:t>
      </w:r>
      <w:r w:rsidRPr="00807DAF">
        <w:t xml:space="preserve">s in relation to the objectives and </w:t>
      </w:r>
      <w:r w:rsidR="006C1232" w:rsidRPr="00807DAF">
        <w:t>priorities</w:t>
      </w:r>
      <w:r w:rsidR="00560331">
        <w:t xml:space="preserve"> </w:t>
      </w:r>
      <w:r w:rsidR="00485439">
        <w:t>set forth</w:t>
      </w:r>
      <w:r w:rsidR="00560331">
        <w:t xml:space="preserve"> in the </w:t>
      </w:r>
      <w:r w:rsidR="00D43CBF">
        <w:t>g</w:t>
      </w:r>
      <w:r w:rsidR="00560331">
        <w:t>uidelines</w:t>
      </w:r>
      <w:r w:rsidR="006C1232" w:rsidRPr="00807DAF">
        <w:t xml:space="preserve">, and </w:t>
      </w:r>
      <w:r w:rsidR="006F44FB" w:rsidRPr="00807DAF">
        <w:t xml:space="preserve">to award </w:t>
      </w:r>
      <w:r w:rsidR="006C1232" w:rsidRPr="00807DAF">
        <w:t>grant</w:t>
      </w:r>
      <w:r w:rsidR="004977D3" w:rsidRPr="00807DAF">
        <w:t>s</w:t>
      </w:r>
      <w:r w:rsidRPr="00807DAF">
        <w:t xml:space="preserve"> to </w:t>
      </w:r>
      <w:r w:rsidR="00CF5740" w:rsidRPr="00807DAF">
        <w:t>project</w:t>
      </w:r>
      <w:r w:rsidRPr="00807DAF">
        <w:t xml:space="preserve">s which maximise the overall effectiveness of the </w:t>
      </w:r>
      <w:r w:rsidR="00C8261E">
        <w:t>c</w:t>
      </w:r>
      <w:r w:rsidR="001D0C7B" w:rsidRPr="00807DAF">
        <w:t xml:space="preserve">all for </w:t>
      </w:r>
      <w:r w:rsidR="00C8261E">
        <w:t>p</w:t>
      </w:r>
      <w:r w:rsidR="001D0C7B" w:rsidRPr="00807DAF">
        <w:t>roposals</w:t>
      </w:r>
      <w:r w:rsidRPr="00807DAF">
        <w:t xml:space="preserve">. </w:t>
      </w:r>
      <w:r w:rsidR="00543106" w:rsidRPr="00807DAF">
        <w:t xml:space="preserve">They </w:t>
      </w:r>
      <w:r w:rsidR="006F44FB" w:rsidRPr="00807DAF">
        <w:t>help to select</w:t>
      </w:r>
      <w:r w:rsidR="00833F09" w:rsidRPr="00807DAF">
        <w:t xml:space="preserve"> </w:t>
      </w:r>
      <w:r w:rsidR="006459C5" w:rsidRPr="00807DAF">
        <w:t>application</w:t>
      </w:r>
      <w:r w:rsidR="0035206C" w:rsidRPr="00807DAF">
        <w:t>s which t</w:t>
      </w:r>
      <w:r w:rsidR="00D959F0" w:rsidRPr="00807DAF">
        <w:t>he Contracting Authority</w:t>
      </w:r>
      <w:r w:rsidR="00833F09" w:rsidRPr="00807DAF">
        <w:t xml:space="preserve"> can be confident will comply with</w:t>
      </w:r>
      <w:r w:rsidR="00D959F0" w:rsidRPr="00807DAF">
        <w:t xml:space="preserve"> its objectives and priorities</w:t>
      </w:r>
      <w:r w:rsidR="002A4866" w:rsidRPr="00807DAF">
        <w:t>.</w:t>
      </w:r>
      <w:r w:rsidR="00D959F0" w:rsidRPr="00807DAF">
        <w:t xml:space="preserve"> </w:t>
      </w:r>
      <w:r w:rsidRPr="00807DAF">
        <w:t xml:space="preserve">They cover the relevance of the action, its consistency with the objectives of the </w:t>
      </w:r>
      <w:r w:rsidR="00C8261E">
        <w:t>c</w:t>
      </w:r>
      <w:r w:rsidR="001D0C7B" w:rsidRPr="00807DAF">
        <w:t xml:space="preserve">all for </w:t>
      </w:r>
      <w:r w:rsidR="00C8261E">
        <w:t>p</w:t>
      </w:r>
      <w:r w:rsidR="001D0C7B" w:rsidRPr="00807DAF">
        <w:t>roposals</w:t>
      </w:r>
      <w:r w:rsidRPr="00807DAF">
        <w:t>, quality, expected impact, sustainability and cost-effectiveness.</w:t>
      </w:r>
    </w:p>
    <w:p w14:paraId="00895CC1" w14:textId="77777777" w:rsidR="00ED5802" w:rsidRDefault="00ED5802" w:rsidP="006F280A">
      <w:r w:rsidRPr="00807DAF">
        <w:t xml:space="preserve">The evaluation </w:t>
      </w:r>
      <w:r w:rsidR="00613863" w:rsidRPr="00807DAF">
        <w:t xml:space="preserve">grid is </w:t>
      </w:r>
      <w:r w:rsidRPr="00807DAF">
        <w:t xml:space="preserve">divided into sections and subsections. </w:t>
      </w:r>
      <w:r w:rsidR="007017C5" w:rsidRPr="00807DAF">
        <w:t xml:space="preserve">Each subsection </w:t>
      </w:r>
      <w:r w:rsidRPr="00807DAF">
        <w:t xml:space="preserve">will be given a score between 1 and 5 </w:t>
      </w:r>
      <w:r w:rsidR="006F44FB" w:rsidRPr="00807DAF">
        <w:t>as</w:t>
      </w:r>
      <w:r w:rsidRPr="00807DAF">
        <w:t xml:space="preserve"> follow</w:t>
      </w:r>
      <w:r w:rsidR="006F44FB" w:rsidRPr="00807DAF">
        <w:t>s</w:t>
      </w:r>
      <w:r w:rsidRPr="00807DAF">
        <w:t xml:space="preserve">: 1 = very poor; 2 = poor; 3 = adequate; 4 = good; 5 = very good. </w:t>
      </w:r>
    </w:p>
    <w:p w14:paraId="426FBB13" w14:textId="77777777" w:rsidR="0019055C" w:rsidRDefault="0019055C" w:rsidP="006F280A"/>
    <w:p w14:paraId="5368A63C" w14:textId="77777777" w:rsidR="0019055C" w:rsidRDefault="0019055C" w:rsidP="006F280A"/>
    <w:p w14:paraId="70BE3FEF" w14:textId="77777777" w:rsidR="0019055C" w:rsidRDefault="0019055C" w:rsidP="006F280A"/>
    <w:p w14:paraId="4DA7A27E" w14:textId="77777777" w:rsidR="0019055C" w:rsidRPr="00807DAF" w:rsidRDefault="0019055C" w:rsidP="006F280A"/>
    <w:p w14:paraId="30B81674" w14:textId="77777777" w:rsidR="0007408E" w:rsidRPr="002F2671" w:rsidRDefault="0007408E" w:rsidP="006F280A">
      <w:pPr>
        <w:rPr>
          <w:b/>
        </w:rPr>
      </w:pPr>
      <w:r w:rsidRPr="002F2671">
        <w:rPr>
          <w:b/>
        </w:rPr>
        <w:t>Evaluation Grid</w:t>
      </w:r>
      <w:r w:rsidR="001443F1">
        <w:rPr>
          <w:rStyle w:val="FootnoteReference"/>
          <w:b/>
        </w:rPr>
        <w:footnoteReference w:id="42"/>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A81F6B" w:rsidRPr="00807DAF" w14:paraId="143B171A" w14:textId="77777777" w:rsidTr="004B4447">
        <w:tc>
          <w:tcPr>
            <w:tcW w:w="8472" w:type="dxa"/>
            <w:vAlign w:val="center"/>
          </w:tcPr>
          <w:p w14:paraId="21423EC7" w14:textId="77777777" w:rsidR="00A81F6B" w:rsidRPr="00E94A3D" w:rsidRDefault="00A81F6B" w:rsidP="003D28E7">
            <w:pPr>
              <w:rPr>
                <w:b/>
                <w:szCs w:val="22"/>
              </w:rPr>
            </w:pPr>
            <w:r w:rsidRPr="00E94A3D">
              <w:rPr>
                <w:b/>
                <w:szCs w:val="22"/>
              </w:rPr>
              <w:t>Section</w:t>
            </w:r>
          </w:p>
        </w:tc>
        <w:tc>
          <w:tcPr>
            <w:tcW w:w="1275" w:type="dxa"/>
            <w:vAlign w:val="center"/>
          </w:tcPr>
          <w:p w14:paraId="056F2715" w14:textId="77777777" w:rsidR="00A81F6B" w:rsidRPr="00E94A3D" w:rsidRDefault="00A81F6B" w:rsidP="003D28E7">
            <w:pPr>
              <w:jc w:val="center"/>
              <w:rPr>
                <w:b/>
                <w:szCs w:val="22"/>
              </w:rPr>
            </w:pPr>
            <w:r w:rsidRPr="00E94A3D">
              <w:rPr>
                <w:b/>
                <w:szCs w:val="22"/>
              </w:rPr>
              <w:t>Maximum Score</w:t>
            </w:r>
          </w:p>
        </w:tc>
      </w:tr>
      <w:tr w:rsidR="00A81F6B" w:rsidRPr="00807DAF" w14:paraId="00DBD392" w14:textId="77777777" w:rsidTr="004B4447">
        <w:tc>
          <w:tcPr>
            <w:tcW w:w="8472" w:type="dxa"/>
            <w:shd w:val="pct10" w:color="auto" w:fill="FFFFFF"/>
            <w:vAlign w:val="center"/>
          </w:tcPr>
          <w:p w14:paraId="39F200B2" w14:textId="67E30CD1" w:rsidR="00A81F6B" w:rsidRPr="00E94A3D" w:rsidRDefault="00A81F6B" w:rsidP="003D28E7">
            <w:pPr>
              <w:rPr>
                <w:szCs w:val="22"/>
              </w:rPr>
            </w:pPr>
            <w:r w:rsidRPr="00E94A3D">
              <w:rPr>
                <w:b/>
                <w:szCs w:val="22"/>
              </w:rPr>
              <w:t xml:space="preserve">1. </w:t>
            </w:r>
            <w:r w:rsidRPr="00E94A3D">
              <w:rPr>
                <w:b/>
                <w:noProof/>
                <w:szCs w:val="22"/>
              </w:rPr>
              <w:t>Financial and operational capacity</w:t>
            </w:r>
            <w:r w:rsidR="004B1C67">
              <w:rPr>
                <w:rStyle w:val="FootnoteReference"/>
                <w:b/>
                <w:noProof/>
                <w:szCs w:val="22"/>
              </w:rPr>
              <w:footnoteReference w:id="43"/>
            </w:r>
          </w:p>
        </w:tc>
        <w:tc>
          <w:tcPr>
            <w:tcW w:w="1275" w:type="dxa"/>
            <w:shd w:val="pct10" w:color="auto" w:fill="FFFFFF"/>
            <w:vAlign w:val="center"/>
          </w:tcPr>
          <w:p w14:paraId="1411905C" w14:textId="77777777" w:rsidR="00A81F6B" w:rsidRPr="00E94A3D" w:rsidRDefault="00A81F6B" w:rsidP="003D28E7">
            <w:pPr>
              <w:jc w:val="center"/>
              <w:rPr>
                <w:b/>
                <w:szCs w:val="22"/>
              </w:rPr>
            </w:pPr>
            <w:r w:rsidRPr="00E94A3D">
              <w:rPr>
                <w:b/>
                <w:noProof/>
                <w:szCs w:val="22"/>
              </w:rPr>
              <w:t>20</w:t>
            </w:r>
          </w:p>
        </w:tc>
      </w:tr>
      <w:tr w:rsidR="00A81F6B" w:rsidRPr="00807DAF" w14:paraId="61A5D9A3" w14:textId="77777777" w:rsidTr="004B4447">
        <w:tc>
          <w:tcPr>
            <w:tcW w:w="8472" w:type="dxa"/>
          </w:tcPr>
          <w:p w14:paraId="0C5039B8" w14:textId="77777777" w:rsidR="00A81F6B" w:rsidRPr="00E94A3D" w:rsidRDefault="00A81F6B" w:rsidP="003D28E7">
            <w:pPr>
              <w:ind w:left="340" w:hanging="340"/>
              <w:rPr>
                <w:szCs w:val="22"/>
              </w:rPr>
            </w:pPr>
            <w:r w:rsidRPr="00E94A3D">
              <w:rPr>
                <w:noProof/>
                <w:szCs w:val="22"/>
              </w:rPr>
              <w:t>1.1. Do the applicants and, if applicable, their affiliated entity(ies) have sufficient experience of project management?</w:t>
            </w:r>
          </w:p>
        </w:tc>
        <w:tc>
          <w:tcPr>
            <w:tcW w:w="1275" w:type="dxa"/>
          </w:tcPr>
          <w:p w14:paraId="7CC30BBA" w14:textId="77777777" w:rsidR="00A81F6B" w:rsidRPr="00E94A3D" w:rsidRDefault="00A81F6B" w:rsidP="003D28E7">
            <w:pPr>
              <w:jc w:val="center"/>
              <w:rPr>
                <w:szCs w:val="22"/>
              </w:rPr>
            </w:pPr>
            <w:r w:rsidRPr="00E94A3D">
              <w:rPr>
                <w:noProof/>
                <w:szCs w:val="22"/>
              </w:rPr>
              <w:t>5</w:t>
            </w:r>
          </w:p>
        </w:tc>
      </w:tr>
      <w:tr w:rsidR="00A81F6B" w:rsidRPr="00807DAF" w14:paraId="60989AA1" w14:textId="77777777" w:rsidTr="004B4447">
        <w:tc>
          <w:tcPr>
            <w:tcW w:w="8472" w:type="dxa"/>
          </w:tcPr>
          <w:p w14:paraId="329B3C6D" w14:textId="77777777" w:rsidR="00A81F6B" w:rsidRPr="00E94A3D" w:rsidRDefault="00A81F6B" w:rsidP="003D28E7">
            <w:pPr>
              <w:ind w:left="340" w:hanging="340"/>
              <w:rPr>
                <w:szCs w:val="22"/>
              </w:rPr>
            </w:pPr>
            <w:r w:rsidRPr="00E94A3D">
              <w:rPr>
                <w:noProof/>
                <w:szCs w:val="22"/>
              </w:rPr>
              <w:t>1.2. Do the applicants and, if applicable, their affiliated entity(ies) have sufficient technical expertise (especially knowledge of the issues to be addressed)?</w:t>
            </w:r>
          </w:p>
        </w:tc>
        <w:tc>
          <w:tcPr>
            <w:tcW w:w="1275" w:type="dxa"/>
          </w:tcPr>
          <w:p w14:paraId="0869DEE5" w14:textId="77777777" w:rsidR="00A81F6B" w:rsidRPr="00E94A3D" w:rsidRDefault="00A81F6B" w:rsidP="003D28E7">
            <w:pPr>
              <w:jc w:val="center"/>
              <w:rPr>
                <w:szCs w:val="22"/>
              </w:rPr>
            </w:pPr>
            <w:r w:rsidRPr="00E94A3D">
              <w:rPr>
                <w:noProof/>
                <w:szCs w:val="22"/>
              </w:rPr>
              <w:t>5</w:t>
            </w:r>
          </w:p>
        </w:tc>
      </w:tr>
      <w:tr w:rsidR="00A81F6B" w:rsidRPr="00807DAF" w14:paraId="6BA41D8C" w14:textId="77777777" w:rsidTr="004B4447">
        <w:tc>
          <w:tcPr>
            <w:tcW w:w="8472" w:type="dxa"/>
          </w:tcPr>
          <w:p w14:paraId="59710F78" w14:textId="77777777" w:rsidR="00A81F6B" w:rsidRPr="00E94A3D" w:rsidRDefault="00A81F6B" w:rsidP="003D28E7">
            <w:pPr>
              <w:ind w:left="340" w:hanging="340"/>
              <w:rPr>
                <w:szCs w:val="22"/>
              </w:rPr>
            </w:pPr>
            <w:r w:rsidRPr="00E94A3D">
              <w:rPr>
                <w:noProof/>
                <w:szCs w:val="22"/>
              </w:rPr>
              <w:t>1.3. Do the applicants and, if applicable, their affiliated entity(ies) have sufficient management capacity (including staff, equipment and ability to handle the budget for the action)?</w:t>
            </w:r>
          </w:p>
        </w:tc>
        <w:tc>
          <w:tcPr>
            <w:tcW w:w="1275" w:type="dxa"/>
          </w:tcPr>
          <w:p w14:paraId="616B4788" w14:textId="77777777" w:rsidR="00A81F6B" w:rsidRPr="00E94A3D" w:rsidRDefault="00A81F6B" w:rsidP="003D28E7">
            <w:pPr>
              <w:jc w:val="center"/>
              <w:rPr>
                <w:szCs w:val="22"/>
              </w:rPr>
            </w:pPr>
            <w:r w:rsidRPr="00E94A3D">
              <w:rPr>
                <w:noProof/>
                <w:szCs w:val="22"/>
              </w:rPr>
              <w:t>5</w:t>
            </w:r>
          </w:p>
        </w:tc>
      </w:tr>
      <w:tr w:rsidR="00A81F6B" w:rsidRPr="00807DAF" w14:paraId="30E7E1C3" w14:textId="77777777" w:rsidTr="004B4447">
        <w:tc>
          <w:tcPr>
            <w:tcW w:w="8472" w:type="dxa"/>
          </w:tcPr>
          <w:p w14:paraId="120E6857" w14:textId="77777777" w:rsidR="00A81F6B" w:rsidRPr="00E94A3D" w:rsidRDefault="00A81F6B" w:rsidP="003D28E7">
            <w:pPr>
              <w:ind w:left="340" w:hanging="340"/>
              <w:rPr>
                <w:szCs w:val="22"/>
              </w:rPr>
            </w:pPr>
            <w:r w:rsidRPr="00E94A3D">
              <w:rPr>
                <w:noProof/>
                <w:szCs w:val="22"/>
              </w:rPr>
              <w:t>1.4. Does the lead applicant have stable and sufficient sources of finance?</w:t>
            </w:r>
          </w:p>
        </w:tc>
        <w:tc>
          <w:tcPr>
            <w:tcW w:w="1275" w:type="dxa"/>
          </w:tcPr>
          <w:p w14:paraId="4DC59B69" w14:textId="77777777" w:rsidR="00A81F6B" w:rsidRPr="00E94A3D" w:rsidRDefault="00A81F6B" w:rsidP="003D28E7">
            <w:pPr>
              <w:jc w:val="center"/>
              <w:rPr>
                <w:szCs w:val="22"/>
              </w:rPr>
            </w:pPr>
            <w:r w:rsidRPr="00E94A3D">
              <w:rPr>
                <w:noProof/>
                <w:szCs w:val="22"/>
              </w:rPr>
              <w:t>5</w:t>
            </w:r>
          </w:p>
        </w:tc>
      </w:tr>
      <w:tr w:rsidR="00A81F6B" w:rsidRPr="00807DAF" w14:paraId="737C1BCD" w14:textId="77777777" w:rsidTr="00787504">
        <w:tc>
          <w:tcPr>
            <w:tcW w:w="8472" w:type="dxa"/>
            <w:shd w:val="pct10" w:color="auto" w:fill="FFFFFF"/>
            <w:vAlign w:val="center"/>
          </w:tcPr>
          <w:p w14:paraId="4ACCCEC8" w14:textId="77777777" w:rsidR="00A81F6B" w:rsidRPr="00A957B2" w:rsidRDefault="00A81F6B" w:rsidP="00787504">
            <w:pPr>
              <w:jc w:val="left"/>
              <w:rPr>
                <w:szCs w:val="22"/>
              </w:rPr>
            </w:pPr>
            <w:r w:rsidRPr="00A957B2">
              <w:rPr>
                <w:b/>
                <w:szCs w:val="22"/>
              </w:rPr>
              <w:t xml:space="preserve">2. </w:t>
            </w:r>
            <w:r w:rsidRPr="00A957B2">
              <w:rPr>
                <w:b/>
                <w:noProof/>
                <w:szCs w:val="22"/>
              </w:rPr>
              <w:t>Relevance of the action</w:t>
            </w:r>
          </w:p>
        </w:tc>
        <w:tc>
          <w:tcPr>
            <w:tcW w:w="1275" w:type="dxa"/>
            <w:shd w:val="pct10" w:color="auto" w:fill="FFFFFF"/>
            <w:vAlign w:val="center"/>
          </w:tcPr>
          <w:p w14:paraId="2E259970" w14:textId="77777777" w:rsidR="00A81F6B" w:rsidRPr="00A957B2" w:rsidRDefault="00A81F6B" w:rsidP="003D28E7">
            <w:pPr>
              <w:jc w:val="center"/>
              <w:rPr>
                <w:b/>
                <w:szCs w:val="22"/>
              </w:rPr>
            </w:pPr>
            <w:r w:rsidRPr="00A957B2">
              <w:rPr>
                <w:b/>
                <w:noProof/>
                <w:szCs w:val="22"/>
              </w:rPr>
              <w:t>30</w:t>
            </w:r>
          </w:p>
        </w:tc>
      </w:tr>
      <w:tr w:rsidR="00813CAE" w:rsidRPr="00807DAF" w14:paraId="76F4DE49" w14:textId="77777777" w:rsidTr="004B4447">
        <w:tc>
          <w:tcPr>
            <w:tcW w:w="8472" w:type="dxa"/>
            <w:shd w:val="clear" w:color="auto" w:fill="FFFFFF"/>
          </w:tcPr>
          <w:p w14:paraId="10134297" w14:textId="600763B4" w:rsidR="00813CAE" w:rsidRDefault="00813CAE" w:rsidP="00312AC5">
            <w:pPr>
              <w:snapToGrid w:val="0"/>
              <w:ind w:left="340" w:hanging="340"/>
              <w:rPr>
                <w:szCs w:val="22"/>
              </w:rPr>
            </w:pPr>
            <w:r>
              <w:rPr>
                <w:noProof/>
                <w:szCs w:val="22"/>
              </w:rPr>
              <w:t>2.1. How relevant is the proposal to the objectives and priorities of the Call for Proposals?</w:t>
            </w:r>
          </w:p>
          <w:p w14:paraId="7B437790" w14:textId="4DEE6748" w:rsidR="00813CAE" w:rsidRPr="00A957B2" w:rsidRDefault="00813CAE" w:rsidP="003D28E7">
            <w:pPr>
              <w:rPr>
                <w:i/>
                <w:szCs w:val="22"/>
              </w:rPr>
            </w:pPr>
            <w:r>
              <w:rPr>
                <w:szCs w:val="22"/>
              </w:rPr>
              <w:t xml:space="preserve">Includes the evaluation of the priority to proposals submitted by local organisations or regional networks/platforms of local organisations established in one of the countries where the action is taking place  </w:t>
            </w:r>
          </w:p>
        </w:tc>
        <w:tc>
          <w:tcPr>
            <w:tcW w:w="1275" w:type="dxa"/>
            <w:shd w:val="clear" w:color="auto" w:fill="FFFFFF"/>
            <w:vAlign w:val="center"/>
          </w:tcPr>
          <w:p w14:paraId="664EC553" w14:textId="77777777" w:rsidR="00813CAE" w:rsidRPr="00A957B2" w:rsidRDefault="00813CAE" w:rsidP="003D28E7">
            <w:pPr>
              <w:jc w:val="center"/>
              <w:rPr>
                <w:b/>
                <w:szCs w:val="22"/>
              </w:rPr>
            </w:pPr>
            <w:r w:rsidRPr="00A957B2">
              <w:rPr>
                <w:noProof/>
                <w:szCs w:val="22"/>
              </w:rPr>
              <w:t>5x2**</w:t>
            </w:r>
          </w:p>
        </w:tc>
      </w:tr>
      <w:tr w:rsidR="00813CAE" w:rsidRPr="00807DAF" w14:paraId="6C83BB7B" w14:textId="77777777" w:rsidTr="004B4447">
        <w:tc>
          <w:tcPr>
            <w:tcW w:w="8472" w:type="dxa"/>
            <w:shd w:val="clear" w:color="auto" w:fill="FFFFFF"/>
          </w:tcPr>
          <w:p w14:paraId="01C78C35" w14:textId="19E27E2D" w:rsidR="00813CAE" w:rsidRDefault="00813CAE" w:rsidP="00312AC5">
            <w:pPr>
              <w:snapToGrid w:val="0"/>
              <w:ind w:left="340" w:hanging="340"/>
              <w:rPr>
                <w:szCs w:val="22"/>
              </w:rPr>
            </w:pPr>
            <w:r>
              <w:rPr>
                <w:noProof/>
                <w:szCs w:val="22"/>
              </w:rPr>
              <w:t>2.2. How relevant to the particular needs and constraints of the target country(ies) or region(s) is the proposal (including synergy with other EU initiatives and avoidance of duplication)?</w:t>
            </w:r>
          </w:p>
          <w:p w14:paraId="2B008E42" w14:textId="5F5A7EC8" w:rsidR="00813CAE" w:rsidRPr="00A957B2" w:rsidRDefault="00813CAE" w:rsidP="003D28E7">
            <w:pPr>
              <w:rPr>
                <w:i/>
                <w:szCs w:val="22"/>
              </w:rPr>
            </w:pPr>
            <w:r>
              <w:rPr>
                <w:szCs w:val="22"/>
              </w:rPr>
              <w:t>Includes the evaluation of the Rights Based approach Methodology</w:t>
            </w:r>
          </w:p>
        </w:tc>
        <w:tc>
          <w:tcPr>
            <w:tcW w:w="1275" w:type="dxa"/>
            <w:shd w:val="clear" w:color="auto" w:fill="FFFFFF"/>
            <w:vAlign w:val="center"/>
          </w:tcPr>
          <w:p w14:paraId="4F5E377E" w14:textId="77777777" w:rsidR="00813CAE" w:rsidRPr="00A957B2" w:rsidRDefault="00813CAE" w:rsidP="003D28E7">
            <w:pPr>
              <w:jc w:val="center"/>
              <w:rPr>
                <w:b/>
                <w:szCs w:val="22"/>
              </w:rPr>
            </w:pPr>
            <w:r w:rsidRPr="00A957B2">
              <w:rPr>
                <w:noProof/>
                <w:szCs w:val="22"/>
              </w:rPr>
              <w:t>5x2**</w:t>
            </w:r>
          </w:p>
        </w:tc>
      </w:tr>
      <w:tr w:rsidR="00813CAE" w:rsidRPr="00807DAF" w14:paraId="1134B1B8" w14:textId="77777777" w:rsidTr="004B4447">
        <w:tc>
          <w:tcPr>
            <w:tcW w:w="8472" w:type="dxa"/>
            <w:shd w:val="clear" w:color="auto" w:fill="FFFFFF"/>
          </w:tcPr>
          <w:p w14:paraId="044C048C" w14:textId="61479B07" w:rsidR="00813CAE" w:rsidRDefault="00813CAE" w:rsidP="00312AC5">
            <w:pPr>
              <w:snapToGrid w:val="0"/>
              <w:ind w:left="340" w:hanging="340"/>
              <w:rPr>
                <w:szCs w:val="22"/>
              </w:rPr>
            </w:pPr>
            <w:r>
              <w:rPr>
                <w:noProof/>
                <w:szCs w:val="22"/>
              </w:rPr>
              <w:t>2.3. How clearly defined and strategically chosen are those involved (final beneficiaries, target groups)? Have their needs been clearly defined and does the proposal address them appropriately?</w:t>
            </w:r>
            <w:r>
              <w:rPr>
                <w:szCs w:val="22"/>
              </w:rPr>
              <w:t>*</w:t>
            </w:r>
          </w:p>
          <w:p w14:paraId="14BC4E4E" w14:textId="73572A46" w:rsidR="00813CAE" w:rsidRPr="00A957B2" w:rsidRDefault="00813CAE" w:rsidP="003D28E7">
            <w:pPr>
              <w:rPr>
                <w:i/>
                <w:szCs w:val="22"/>
              </w:rPr>
            </w:pPr>
            <w:r w:rsidRPr="00680128">
              <w:rPr>
                <w:szCs w:val="22"/>
              </w:rPr>
              <w:t xml:space="preserve">Includes the evaluation of the methodology for </w:t>
            </w:r>
            <w:r>
              <w:rPr>
                <w:szCs w:val="22"/>
              </w:rPr>
              <w:t>Financial Support to T</w:t>
            </w:r>
            <w:r w:rsidRPr="00680128">
              <w:rPr>
                <w:szCs w:val="22"/>
              </w:rPr>
              <w:t xml:space="preserve">hird </w:t>
            </w:r>
            <w:r>
              <w:rPr>
                <w:szCs w:val="22"/>
              </w:rPr>
              <w:t>P</w:t>
            </w:r>
            <w:r w:rsidRPr="00680128">
              <w:rPr>
                <w:szCs w:val="22"/>
              </w:rPr>
              <w:t>arties</w:t>
            </w:r>
            <w:r>
              <w:rPr>
                <w:szCs w:val="22"/>
              </w:rPr>
              <w:t xml:space="preserve"> (</w:t>
            </w:r>
            <w:proofErr w:type="spellStart"/>
            <w:r>
              <w:rPr>
                <w:szCs w:val="22"/>
              </w:rPr>
              <w:t>cfr</w:t>
            </w:r>
            <w:proofErr w:type="spellEnd"/>
            <w:r>
              <w:rPr>
                <w:szCs w:val="22"/>
              </w:rPr>
              <w:t>: section 2.4)</w:t>
            </w:r>
          </w:p>
        </w:tc>
        <w:tc>
          <w:tcPr>
            <w:tcW w:w="1275" w:type="dxa"/>
            <w:shd w:val="clear" w:color="auto" w:fill="FFFFFF"/>
            <w:vAlign w:val="center"/>
          </w:tcPr>
          <w:p w14:paraId="1714BA1D" w14:textId="77777777" w:rsidR="00813CAE" w:rsidRPr="00A957B2" w:rsidRDefault="00813CAE" w:rsidP="003D28E7">
            <w:pPr>
              <w:jc w:val="center"/>
              <w:rPr>
                <w:b/>
                <w:szCs w:val="22"/>
              </w:rPr>
            </w:pPr>
            <w:r w:rsidRPr="00A957B2">
              <w:rPr>
                <w:noProof/>
                <w:szCs w:val="22"/>
              </w:rPr>
              <w:t>5</w:t>
            </w:r>
          </w:p>
        </w:tc>
      </w:tr>
      <w:tr w:rsidR="00813CAE" w:rsidRPr="00807DAF" w14:paraId="0B860EFD" w14:textId="77777777" w:rsidTr="004B4447">
        <w:tc>
          <w:tcPr>
            <w:tcW w:w="8472" w:type="dxa"/>
            <w:shd w:val="clear" w:color="auto" w:fill="FFFFFF"/>
          </w:tcPr>
          <w:p w14:paraId="2D92A8C0" w14:textId="658EA445" w:rsidR="00813CAE" w:rsidRPr="00A957B2" w:rsidRDefault="00813CAE" w:rsidP="00EA6895">
            <w:pPr>
              <w:rPr>
                <w:i/>
                <w:szCs w:val="22"/>
              </w:rPr>
            </w:pPr>
            <w:r>
              <w:rPr>
                <w:noProof/>
                <w:szCs w:val="22"/>
              </w:rPr>
              <w:t xml:space="preserve">2.4. Does the proposal contain specific added-value elements, such as environmental issues, promotion of gender equality and equal opportunities, </w:t>
            </w:r>
            <w:r w:rsidRPr="0019055C">
              <w:rPr>
                <w:noProof/>
                <w:szCs w:val="22"/>
              </w:rPr>
              <w:t>rights</w:t>
            </w:r>
            <w:r w:rsidRPr="00680128">
              <w:rPr>
                <w:noProof/>
                <w:szCs w:val="22"/>
              </w:rPr>
              <w:t xml:space="preserve"> of disabled people </w:t>
            </w:r>
            <w:r w:rsidRPr="0019055C">
              <w:rPr>
                <w:noProof/>
                <w:szCs w:val="22"/>
              </w:rPr>
              <w:t>(including accessibility),</w:t>
            </w:r>
            <w:r w:rsidRPr="00680128">
              <w:rPr>
                <w:noProof/>
                <w:szCs w:val="22"/>
              </w:rPr>
              <w:t xml:space="preserve"> rights of minorities and rights of indigen</w:t>
            </w:r>
            <w:r>
              <w:rPr>
                <w:noProof/>
                <w:szCs w:val="22"/>
              </w:rPr>
              <w:t>ous peoples, or innovation and best practices and the other additional elements indicated under 1.2. of these guidelines?</w:t>
            </w:r>
          </w:p>
        </w:tc>
        <w:tc>
          <w:tcPr>
            <w:tcW w:w="1275" w:type="dxa"/>
            <w:shd w:val="clear" w:color="auto" w:fill="FFFFFF"/>
            <w:vAlign w:val="center"/>
          </w:tcPr>
          <w:p w14:paraId="6E609D79" w14:textId="77777777" w:rsidR="00813CAE" w:rsidRPr="00A957B2" w:rsidRDefault="00813CAE" w:rsidP="003D28E7">
            <w:pPr>
              <w:jc w:val="center"/>
              <w:rPr>
                <w:b/>
                <w:szCs w:val="22"/>
              </w:rPr>
            </w:pPr>
            <w:r w:rsidRPr="00A957B2">
              <w:rPr>
                <w:noProof/>
                <w:szCs w:val="22"/>
              </w:rPr>
              <w:t>5</w:t>
            </w:r>
          </w:p>
        </w:tc>
      </w:tr>
      <w:tr w:rsidR="00A81F6B" w:rsidRPr="00807DAF" w14:paraId="767FB90C" w14:textId="77777777" w:rsidTr="004B4447">
        <w:tc>
          <w:tcPr>
            <w:tcW w:w="8472" w:type="dxa"/>
            <w:shd w:val="pct10" w:color="auto" w:fill="FFFFFF"/>
            <w:vAlign w:val="center"/>
          </w:tcPr>
          <w:p w14:paraId="30F9C645" w14:textId="77777777" w:rsidR="00A81F6B" w:rsidRPr="00E94A3D" w:rsidRDefault="00A81F6B" w:rsidP="003D28E7">
            <w:pPr>
              <w:rPr>
                <w:szCs w:val="22"/>
              </w:rPr>
            </w:pPr>
            <w:r w:rsidRPr="00E94A3D">
              <w:rPr>
                <w:b/>
                <w:szCs w:val="22"/>
              </w:rPr>
              <w:lastRenderedPageBreak/>
              <w:t xml:space="preserve">3. </w:t>
            </w:r>
            <w:r w:rsidRPr="00E94A3D">
              <w:rPr>
                <w:b/>
                <w:noProof/>
                <w:szCs w:val="22"/>
              </w:rPr>
              <w:t>Effectiveness and feasibility of the action</w:t>
            </w:r>
          </w:p>
        </w:tc>
        <w:tc>
          <w:tcPr>
            <w:tcW w:w="1275" w:type="dxa"/>
            <w:shd w:val="pct10" w:color="auto" w:fill="FFFFFF"/>
            <w:vAlign w:val="center"/>
          </w:tcPr>
          <w:p w14:paraId="79380E0B" w14:textId="77777777" w:rsidR="00A81F6B" w:rsidRPr="00E94A3D" w:rsidRDefault="00A81F6B" w:rsidP="003D28E7">
            <w:pPr>
              <w:jc w:val="center"/>
              <w:rPr>
                <w:b/>
                <w:szCs w:val="22"/>
              </w:rPr>
            </w:pPr>
            <w:r w:rsidRPr="00E94A3D">
              <w:rPr>
                <w:b/>
                <w:noProof/>
                <w:szCs w:val="22"/>
              </w:rPr>
              <w:t>20</w:t>
            </w:r>
          </w:p>
        </w:tc>
      </w:tr>
      <w:tr w:rsidR="00A81F6B" w:rsidRPr="00807DAF" w14:paraId="5780E1D7" w14:textId="77777777" w:rsidTr="004B4447">
        <w:tc>
          <w:tcPr>
            <w:tcW w:w="8472" w:type="dxa"/>
          </w:tcPr>
          <w:p w14:paraId="1E0CAE49" w14:textId="77777777" w:rsidR="00EA6895" w:rsidRDefault="00A81F6B" w:rsidP="003D28E7">
            <w:pPr>
              <w:ind w:left="340" w:hanging="340"/>
            </w:pPr>
            <w:r w:rsidRPr="00E94A3D">
              <w:rPr>
                <w:noProof/>
                <w:szCs w:val="22"/>
              </w:rPr>
              <w:t>3.1. Are the activities proposed appropriate, practical, and consistent with the objectives and expected results?</w:t>
            </w:r>
            <w:r w:rsidR="00EA6895">
              <w:t xml:space="preserve"> </w:t>
            </w:r>
          </w:p>
          <w:p w14:paraId="26EF7B7E" w14:textId="7F63522D" w:rsidR="00A81F6B" w:rsidRDefault="00EA6895" w:rsidP="00EA6895">
            <w:pPr>
              <w:rPr>
                <w:szCs w:val="22"/>
              </w:rPr>
            </w:pPr>
            <w:r>
              <w:rPr>
                <w:szCs w:val="22"/>
              </w:rPr>
              <w:t xml:space="preserve">Includes the </w:t>
            </w:r>
            <w:r w:rsidRPr="00EA6895">
              <w:rPr>
                <w:szCs w:val="22"/>
              </w:rPr>
              <w:t>Priority to proposals submitted by local organisations or by regional networks/platforms of local organisations established in one of the countries where the action will take place as lead applicants.</w:t>
            </w:r>
          </w:p>
          <w:p w14:paraId="1CEB07B5" w14:textId="2BFAD77B" w:rsidR="00064C3B" w:rsidRPr="00E94A3D" w:rsidRDefault="00064C3B" w:rsidP="00EA6895">
            <w:pPr>
              <w:rPr>
                <w:szCs w:val="22"/>
              </w:rPr>
            </w:pPr>
            <w:r w:rsidRPr="00680128">
              <w:rPr>
                <w:szCs w:val="22"/>
              </w:rPr>
              <w:t xml:space="preserve">Includes the evaluation of the methodology for </w:t>
            </w:r>
            <w:r>
              <w:rPr>
                <w:szCs w:val="22"/>
              </w:rPr>
              <w:t>Financial Support to T</w:t>
            </w:r>
            <w:r w:rsidRPr="00680128">
              <w:rPr>
                <w:szCs w:val="22"/>
              </w:rPr>
              <w:t xml:space="preserve">hird </w:t>
            </w:r>
            <w:r>
              <w:rPr>
                <w:szCs w:val="22"/>
              </w:rPr>
              <w:t>P</w:t>
            </w:r>
            <w:r w:rsidRPr="00680128">
              <w:rPr>
                <w:szCs w:val="22"/>
              </w:rPr>
              <w:t>arties</w:t>
            </w:r>
            <w:r>
              <w:rPr>
                <w:szCs w:val="22"/>
              </w:rPr>
              <w:t xml:space="preserve"> (</w:t>
            </w:r>
            <w:proofErr w:type="spellStart"/>
            <w:r>
              <w:rPr>
                <w:szCs w:val="22"/>
              </w:rPr>
              <w:t>cfr</w:t>
            </w:r>
            <w:proofErr w:type="spellEnd"/>
            <w:r>
              <w:rPr>
                <w:szCs w:val="22"/>
              </w:rPr>
              <w:t>: section 2.4)</w:t>
            </w:r>
          </w:p>
        </w:tc>
        <w:tc>
          <w:tcPr>
            <w:tcW w:w="1275" w:type="dxa"/>
          </w:tcPr>
          <w:p w14:paraId="7F937873" w14:textId="77777777" w:rsidR="00A81F6B" w:rsidRPr="00E94A3D" w:rsidRDefault="00A81F6B" w:rsidP="003D28E7">
            <w:pPr>
              <w:jc w:val="center"/>
              <w:rPr>
                <w:szCs w:val="22"/>
              </w:rPr>
            </w:pPr>
            <w:r w:rsidRPr="00E94A3D">
              <w:rPr>
                <w:noProof/>
                <w:szCs w:val="22"/>
              </w:rPr>
              <w:t>5</w:t>
            </w:r>
          </w:p>
        </w:tc>
      </w:tr>
      <w:tr w:rsidR="00A81F6B" w:rsidRPr="00807DAF" w14:paraId="0F546D04" w14:textId="77777777" w:rsidTr="004B4447">
        <w:tc>
          <w:tcPr>
            <w:tcW w:w="8472" w:type="dxa"/>
          </w:tcPr>
          <w:p w14:paraId="3B7CDC46" w14:textId="77777777" w:rsidR="00A81F6B" w:rsidRDefault="00A81F6B" w:rsidP="003D28E7">
            <w:pPr>
              <w:ind w:left="340" w:hanging="340"/>
              <w:rPr>
                <w:noProof/>
                <w:szCs w:val="22"/>
              </w:rPr>
            </w:pPr>
            <w:r w:rsidRPr="00E94A3D">
              <w:rPr>
                <w:noProof/>
                <w:szCs w:val="22"/>
              </w:rPr>
              <w:t>3.2. Is the action plan clear and feasible?</w:t>
            </w:r>
          </w:p>
          <w:p w14:paraId="0664DDEF" w14:textId="6AE49F07" w:rsidR="00EA6895" w:rsidRPr="00E94A3D" w:rsidRDefault="00EA6895" w:rsidP="006F739C">
            <w:pPr>
              <w:rPr>
                <w:szCs w:val="22"/>
              </w:rPr>
            </w:pPr>
            <w:r w:rsidRPr="00EA6895">
              <w:rPr>
                <w:szCs w:val="22"/>
              </w:rPr>
              <w:t xml:space="preserve">Includes the Priority to proposals submitted by local organisations or by regional networks/platforms of local organisations established in one of the countries where the action will take place as lead </w:t>
            </w:r>
            <w:proofErr w:type="gramStart"/>
            <w:r w:rsidRPr="00EA6895">
              <w:rPr>
                <w:szCs w:val="22"/>
              </w:rPr>
              <w:t>applicants .</w:t>
            </w:r>
            <w:proofErr w:type="gramEnd"/>
          </w:p>
        </w:tc>
        <w:tc>
          <w:tcPr>
            <w:tcW w:w="1275" w:type="dxa"/>
          </w:tcPr>
          <w:p w14:paraId="66A2D1B8" w14:textId="77777777" w:rsidR="00A81F6B" w:rsidRPr="00E94A3D" w:rsidRDefault="00A81F6B" w:rsidP="003D28E7">
            <w:pPr>
              <w:jc w:val="center"/>
              <w:rPr>
                <w:szCs w:val="22"/>
              </w:rPr>
            </w:pPr>
            <w:r w:rsidRPr="00E94A3D">
              <w:rPr>
                <w:noProof/>
                <w:szCs w:val="22"/>
              </w:rPr>
              <w:t>5</w:t>
            </w:r>
          </w:p>
        </w:tc>
      </w:tr>
      <w:tr w:rsidR="00A81F6B" w:rsidRPr="00807DAF" w14:paraId="7B098854" w14:textId="77777777" w:rsidTr="004B4447">
        <w:tc>
          <w:tcPr>
            <w:tcW w:w="8472" w:type="dxa"/>
          </w:tcPr>
          <w:p w14:paraId="0E48CC63" w14:textId="77777777" w:rsidR="00A81F6B" w:rsidRDefault="00A81F6B" w:rsidP="003D28E7">
            <w:pPr>
              <w:ind w:left="340" w:hanging="340"/>
              <w:rPr>
                <w:noProof/>
                <w:szCs w:val="22"/>
              </w:rPr>
            </w:pPr>
            <w:r w:rsidRPr="00E94A3D">
              <w:rPr>
                <w:noProof/>
                <w:szCs w:val="22"/>
              </w:rPr>
              <w:t>3.3. Does the proposal contain objectively verifiable indicators for the outcome of the action? Is any evaluation planned?</w:t>
            </w:r>
          </w:p>
          <w:p w14:paraId="34E6FEE2" w14:textId="5CFE0369" w:rsidR="00EA6895" w:rsidRPr="00E94A3D" w:rsidRDefault="00EA6895" w:rsidP="006F739C">
            <w:pPr>
              <w:rPr>
                <w:szCs w:val="22"/>
              </w:rPr>
            </w:pPr>
            <w:r w:rsidRPr="00EA6895">
              <w:rPr>
                <w:szCs w:val="22"/>
              </w:rPr>
              <w:t xml:space="preserve">Includes the Priority to proposals submitted by local organisations or by regional networks/platforms of local organisations established in one of the countries where the action will take place as lead </w:t>
            </w:r>
            <w:proofErr w:type="gramStart"/>
            <w:r w:rsidRPr="00EA6895">
              <w:rPr>
                <w:szCs w:val="22"/>
              </w:rPr>
              <w:t>applicants .</w:t>
            </w:r>
            <w:proofErr w:type="gramEnd"/>
          </w:p>
        </w:tc>
        <w:tc>
          <w:tcPr>
            <w:tcW w:w="1275" w:type="dxa"/>
          </w:tcPr>
          <w:p w14:paraId="1CCCE212" w14:textId="77777777" w:rsidR="00A81F6B" w:rsidRPr="00E94A3D" w:rsidRDefault="00A81F6B" w:rsidP="003D28E7">
            <w:pPr>
              <w:jc w:val="center"/>
              <w:rPr>
                <w:szCs w:val="22"/>
              </w:rPr>
            </w:pPr>
            <w:r w:rsidRPr="00E94A3D">
              <w:rPr>
                <w:noProof/>
                <w:szCs w:val="22"/>
              </w:rPr>
              <w:t>5</w:t>
            </w:r>
          </w:p>
        </w:tc>
      </w:tr>
      <w:tr w:rsidR="00A81F6B" w:rsidRPr="00807DAF" w14:paraId="4AC5820E" w14:textId="77777777" w:rsidTr="004B4447">
        <w:tc>
          <w:tcPr>
            <w:tcW w:w="8472" w:type="dxa"/>
          </w:tcPr>
          <w:p w14:paraId="4E3623D1" w14:textId="77777777" w:rsidR="00A81F6B" w:rsidRDefault="00A81F6B" w:rsidP="003D28E7">
            <w:pPr>
              <w:ind w:left="340" w:hanging="340"/>
              <w:rPr>
                <w:noProof/>
                <w:szCs w:val="22"/>
              </w:rPr>
            </w:pPr>
            <w:r w:rsidRPr="00E94A3D">
              <w:rPr>
                <w:noProof/>
                <w:szCs w:val="22"/>
              </w:rPr>
              <w:t>3.4. Is the co-applicant(s)'s and affiliated entity(ies)'s level of involvement and participation in the action satisfactory?</w:t>
            </w:r>
          </w:p>
          <w:p w14:paraId="37BFFCC5" w14:textId="17D5BE4B" w:rsidR="00EA6895" w:rsidRPr="00E94A3D" w:rsidRDefault="00EA6895" w:rsidP="006F739C">
            <w:pPr>
              <w:rPr>
                <w:szCs w:val="22"/>
              </w:rPr>
            </w:pPr>
            <w:r w:rsidRPr="00EA6895">
              <w:rPr>
                <w:szCs w:val="22"/>
              </w:rPr>
              <w:t xml:space="preserve">Includes the Priority to proposals submitted by local organisations or </w:t>
            </w:r>
            <w:proofErr w:type="gramStart"/>
            <w:r w:rsidRPr="00EA6895">
              <w:rPr>
                <w:szCs w:val="22"/>
              </w:rPr>
              <w:t>by  regional</w:t>
            </w:r>
            <w:proofErr w:type="gramEnd"/>
            <w:r w:rsidRPr="00EA6895">
              <w:rPr>
                <w:szCs w:val="22"/>
              </w:rPr>
              <w:t xml:space="preserve"> networks/platforms of local organisations established in one of the countries where the action will take place as lead applicants .</w:t>
            </w:r>
          </w:p>
        </w:tc>
        <w:tc>
          <w:tcPr>
            <w:tcW w:w="1275" w:type="dxa"/>
          </w:tcPr>
          <w:p w14:paraId="5B50EDF4" w14:textId="77777777" w:rsidR="00A81F6B" w:rsidRPr="00E94A3D" w:rsidRDefault="00A81F6B" w:rsidP="003D28E7">
            <w:pPr>
              <w:jc w:val="center"/>
              <w:rPr>
                <w:szCs w:val="22"/>
              </w:rPr>
            </w:pPr>
            <w:r w:rsidRPr="00E94A3D">
              <w:rPr>
                <w:noProof/>
                <w:szCs w:val="22"/>
              </w:rPr>
              <w:t>5</w:t>
            </w:r>
          </w:p>
        </w:tc>
      </w:tr>
      <w:tr w:rsidR="00A81F6B" w:rsidRPr="00807DAF" w14:paraId="7E77F125" w14:textId="77777777" w:rsidTr="004B4447">
        <w:tc>
          <w:tcPr>
            <w:tcW w:w="8472" w:type="dxa"/>
            <w:shd w:val="pct10" w:color="auto" w:fill="FFFFFF"/>
            <w:vAlign w:val="center"/>
          </w:tcPr>
          <w:p w14:paraId="161B39D1" w14:textId="77777777" w:rsidR="00A81F6B" w:rsidRPr="00E94A3D" w:rsidRDefault="00A81F6B" w:rsidP="003D28E7">
            <w:pPr>
              <w:rPr>
                <w:szCs w:val="22"/>
              </w:rPr>
            </w:pPr>
            <w:r w:rsidRPr="00E94A3D">
              <w:rPr>
                <w:szCs w:val="22"/>
              </w:rPr>
              <w:br w:type="page"/>
            </w:r>
            <w:r w:rsidRPr="00E94A3D">
              <w:rPr>
                <w:b/>
                <w:szCs w:val="22"/>
              </w:rPr>
              <w:t xml:space="preserve">4. </w:t>
            </w:r>
            <w:r w:rsidRPr="00E94A3D">
              <w:rPr>
                <w:b/>
                <w:noProof/>
                <w:szCs w:val="22"/>
              </w:rPr>
              <w:t>Sustainability of the action</w:t>
            </w:r>
          </w:p>
        </w:tc>
        <w:tc>
          <w:tcPr>
            <w:tcW w:w="1275" w:type="dxa"/>
            <w:shd w:val="pct10" w:color="auto" w:fill="FFFFFF"/>
            <w:vAlign w:val="center"/>
          </w:tcPr>
          <w:p w14:paraId="2D85BB87" w14:textId="77777777" w:rsidR="00A81F6B" w:rsidRPr="00E94A3D" w:rsidRDefault="00A81F6B" w:rsidP="003D28E7">
            <w:pPr>
              <w:jc w:val="center"/>
              <w:rPr>
                <w:b/>
                <w:szCs w:val="22"/>
              </w:rPr>
            </w:pPr>
            <w:r w:rsidRPr="00E94A3D">
              <w:rPr>
                <w:b/>
                <w:noProof/>
                <w:szCs w:val="22"/>
              </w:rPr>
              <w:t>15</w:t>
            </w:r>
          </w:p>
        </w:tc>
      </w:tr>
      <w:tr w:rsidR="00A81F6B" w:rsidRPr="00807DAF" w14:paraId="244D8C53" w14:textId="77777777" w:rsidTr="004B4447">
        <w:tc>
          <w:tcPr>
            <w:tcW w:w="8472" w:type="dxa"/>
          </w:tcPr>
          <w:p w14:paraId="5A6B271B" w14:textId="77777777" w:rsidR="00A81F6B" w:rsidRPr="00E94A3D" w:rsidRDefault="00A81F6B" w:rsidP="003D28E7">
            <w:pPr>
              <w:ind w:left="340" w:hanging="340"/>
              <w:rPr>
                <w:szCs w:val="22"/>
              </w:rPr>
            </w:pPr>
            <w:r w:rsidRPr="00E94A3D">
              <w:rPr>
                <w:noProof/>
                <w:szCs w:val="22"/>
              </w:rPr>
              <w:t>4.1. Is the action likely to have a tangible impact on its target groups?</w:t>
            </w:r>
          </w:p>
        </w:tc>
        <w:tc>
          <w:tcPr>
            <w:tcW w:w="1275" w:type="dxa"/>
          </w:tcPr>
          <w:p w14:paraId="5BC80AA7" w14:textId="77777777" w:rsidR="00A81F6B" w:rsidRPr="00E94A3D" w:rsidRDefault="00A81F6B" w:rsidP="003D28E7">
            <w:pPr>
              <w:jc w:val="center"/>
              <w:rPr>
                <w:szCs w:val="22"/>
              </w:rPr>
            </w:pPr>
            <w:r w:rsidRPr="00E94A3D">
              <w:rPr>
                <w:noProof/>
                <w:szCs w:val="22"/>
              </w:rPr>
              <w:t>5</w:t>
            </w:r>
          </w:p>
        </w:tc>
      </w:tr>
      <w:tr w:rsidR="00A81F6B" w:rsidRPr="00807DAF" w14:paraId="72D962B3" w14:textId="77777777" w:rsidTr="004B4447">
        <w:tc>
          <w:tcPr>
            <w:tcW w:w="8472" w:type="dxa"/>
          </w:tcPr>
          <w:p w14:paraId="4E0D15F5" w14:textId="77777777" w:rsidR="00A81F6B" w:rsidRPr="00E94A3D" w:rsidRDefault="00A81F6B" w:rsidP="003D28E7">
            <w:pPr>
              <w:ind w:left="340" w:hanging="340"/>
              <w:rPr>
                <w:szCs w:val="22"/>
              </w:rPr>
            </w:pPr>
            <w:r w:rsidRPr="00E94A3D">
              <w:rPr>
                <w:noProof/>
                <w:szCs w:val="22"/>
              </w:rPr>
              <w:t>4.2. Is the proposal likely to have multiplier effects (including scope for replication, extension and information sharing)?</w:t>
            </w:r>
          </w:p>
        </w:tc>
        <w:tc>
          <w:tcPr>
            <w:tcW w:w="1275" w:type="dxa"/>
          </w:tcPr>
          <w:p w14:paraId="67102E9E" w14:textId="77777777" w:rsidR="00A81F6B" w:rsidRPr="00E94A3D" w:rsidRDefault="00A81F6B" w:rsidP="003D28E7">
            <w:pPr>
              <w:jc w:val="center"/>
              <w:rPr>
                <w:szCs w:val="22"/>
              </w:rPr>
            </w:pPr>
            <w:r w:rsidRPr="00E94A3D">
              <w:rPr>
                <w:noProof/>
                <w:szCs w:val="22"/>
              </w:rPr>
              <w:t>5</w:t>
            </w:r>
          </w:p>
        </w:tc>
      </w:tr>
      <w:tr w:rsidR="00A81F6B" w:rsidRPr="00807DAF" w14:paraId="1296BB2E" w14:textId="77777777" w:rsidTr="004B4447">
        <w:tc>
          <w:tcPr>
            <w:tcW w:w="8472" w:type="dxa"/>
          </w:tcPr>
          <w:p w14:paraId="18AC5E2C" w14:textId="77777777" w:rsidR="00A81F6B" w:rsidRPr="00E94A3D" w:rsidRDefault="00A81F6B" w:rsidP="003D28E7">
            <w:pPr>
              <w:ind w:left="340" w:hanging="340"/>
              <w:rPr>
                <w:szCs w:val="22"/>
              </w:rPr>
            </w:pPr>
            <w:r w:rsidRPr="00E94A3D">
              <w:rPr>
                <w:noProof/>
                <w:szCs w:val="22"/>
              </w:rPr>
              <w:t>4.3. Are the expected results of the proposed action sustainable?:(1) financially (how will the activities be financed after the funding ends?)(2) institutionally (will structures allowing the activities to continue be in place at the end of the action? Will there be local 'ownership' of the results of the action?)(3) at policy level (where applicable) (what will be the structural impact of the action — e.g. will it lead to improved legislation, codes of conduct, methods, etc?)(4) environmentally (</w:t>
            </w:r>
            <w:r w:rsidRPr="00342AFB">
              <w:rPr>
                <w:b/>
                <w:noProof/>
                <w:szCs w:val="22"/>
                <w:u w:val="single"/>
              </w:rPr>
              <w:t>if applicable</w:t>
            </w:r>
            <w:r w:rsidRPr="00E94A3D">
              <w:rPr>
                <w:noProof/>
                <w:szCs w:val="22"/>
              </w:rPr>
              <w:t>) (will the action have a negative/positive environmental impact?)"</w:t>
            </w:r>
          </w:p>
        </w:tc>
        <w:tc>
          <w:tcPr>
            <w:tcW w:w="1275" w:type="dxa"/>
          </w:tcPr>
          <w:p w14:paraId="27A57C1A" w14:textId="77777777" w:rsidR="00A81F6B" w:rsidRPr="00E94A3D" w:rsidRDefault="00A81F6B" w:rsidP="003D28E7">
            <w:pPr>
              <w:jc w:val="center"/>
              <w:rPr>
                <w:szCs w:val="22"/>
              </w:rPr>
            </w:pPr>
            <w:r w:rsidRPr="00E94A3D">
              <w:rPr>
                <w:noProof/>
                <w:szCs w:val="22"/>
              </w:rPr>
              <w:t>5</w:t>
            </w:r>
          </w:p>
        </w:tc>
      </w:tr>
      <w:tr w:rsidR="00A81F6B" w:rsidRPr="00807DAF" w14:paraId="3603E06F" w14:textId="77777777" w:rsidTr="004B4447">
        <w:tc>
          <w:tcPr>
            <w:tcW w:w="8472" w:type="dxa"/>
            <w:shd w:val="pct10" w:color="auto" w:fill="FFFFFF"/>
            <w:vAlign w:val="center"/>
          </w:tcPr>
          <w:p w14:paraId="3B977CFF" w14:textId="77777777" w:rsidR="00A81F6B" w:rsidRPr="00E94A3D" w:rsidRDefault="00A81F6B" w:rsidP="003D28E7">
            <w:pPr>
              <w:rPr>
                <w:szCs w:val="22"/>
              </w:rPr>
            </w:pPr>
            <w:r w:rsidRPr="00E94A3D">
              <w:rPr>
                <w:szCs w:val="22"/>
              </w:rPr>
              <w:br w:type="page"/>
            </w:r>
            <w:r w:rsidRPr="00E94A3D">
              <w:rPr>
                <w:b/>
                <w:szCs w:val="22"/>
              </w:rPr>
              <w:t xml:space="preserve">5. </w:t>
            </w:r>
            <w:r w:rsidRPr="00E94A3D">
              <w:rPr>
                <w:b/>
                <w:noProof/>
                <w:szCs w:val="22"/>
              </w:rPr>
              <w:t>Budget and cost-effectiveness of the action</w:t>
            </w:r>
          </w:p>
        </w:tc>
        <w:tc>
          <w:tcPr>
            <w:tcW w:w="1275" w:type="dxa"/>
            <w:shd w:val="pct10" w:color="auto" w:fill="FFFFFF"/>
            <w:vAlign w:val="center"/>
          </w:tcPr>
          <w:p w14:paraId="3DA31FB3" w14:textId="77777777" w:rsidR="00A81F6B" w:rsidRPr="00E94A3D" w:rsidRDefault="00A81F6B" w:rsidP="003D28E7">
            <w:pPr>
              <w:jc w:val="center"/>
              <w:rPr>
                <w:b/>
                <w:szCs w:val="22"/>
              </w:rPr>
            </w:pPr>
            <w:r w:rsidRPr="00E94A3D">
              <w:rPr>
                <w:b/>
                <w:noProof/>
                <w:szCs w:val="22"/>
              </w:rPr>
              <w:t>15</w:t>
            </w:r>
          </w:p>
        </w:tc>
      </w:tr>
      <w:tr w:rsidR="00A81F6B" w:rsidRPr="00807DAF" w14:paraId="6C37D12A" w14:textId="77777777" w:rsidTr="004B4447">
        <w:tc>
          <w:tcPr>
            <w:tcW w:w="8472" w:type="dxa"/>
          </w:tcPr>
          <w:p w14:paraId="4DC5C3F6" w14:textId="77777777" w:rsidR="00A81F6B" w:rsidRPr="00E94A3D" w:rsidRDefault="00A81F6B" w:rsidP="003D28E7">
            <w:pPr>
              <w:ind w:left="340" w:hanging="340"/>
              <w:rPr>
                <w:szCs w:val="22"/>
              </w:rPr>
            </w:pPr>
            <w:r w:rsidRPr="00E94A3D">
              <w:rPr>
                <w:noProof/>
                <w:szCs w:val="22"/>
              </w:rPr>
              <w:t>5.1. Are the activities appropriately reflected in the budget?</w:t>
            </w:r>
          </w:p>
        </w:tc>
        <w:tc>
          <w:tcPr>
            <w:tcW w:w="1275" w:type="dxa"/>
          </w:tcPr>
          <w:p w14:paraId="36FB92B4" w14:textId="77777777" w:rsidR="00A81F6B" w:rsidRPr="00E94A3D" w:rsidRDefault="00A81F6B" w:rsidP="003D28E7">
            <w:pPr>
              <w:jc w:val="center"/>
              <w:rPr>
                <w:szCs w:val="22"/>
              </w:rPr>
            </w:pPr>
            <w:r w:rsidRPr="00E94A3D">
              <w:rPr>
                <w:noProof/>
                <w:szCs w:val="22"/>
              </w:rPr>
              <w:t>5</w:t>
            </w:r>
          </w:p>
        </w:tc>
      </w:tr>
      <w:tr w:rsidR="00A81F6B" w:rsidRPr="00807DAF" w14:paraId="20C014FB" w14:textId="77777777" w:rsidTr="004B4447">
        <w:tc>
          <w:tcPr>
            <w:tcW w:w="8472" w:type="dxa"/>
          </w:tcPr>
          <w:p w14:paraId="346026EE" w14:textId="77777777" w:rsidR="00A81F6B" w:rsidRPr="00E94A3D" w:rsidRDefault="00A81F6B" w:rsidP="003D28E7">
            <w:pPr>
              <w:ind w:left="340" w:hanging="340"/>
              <w:rPr>
                <w:szCs w:val="22"/>
              </w:rPr>
            </w:pPr>
            <w:r w:rsidRPr="00E94A3D">
              <w:rPr>
                <w:noProof/>
                <w:szCs w:val="22"/>
              </w:rPr>
              <w:t>5.2. Is the ratio between the estimated costs and the expected results satisfactory?</w:t>
            </w:r>
          </w:p>
        </w:tc>
        <w:tc>
          <w:tcPr>
            <w:tcW w:w="1275" w:type="dxa"/>
          </w:tcPr>
          <w:p w14:paraId="67C236E0" w14:textId="28FB8163" w:rsidR="00A81F6B" w:rsidRPr="00E94A3D" w:rsidRDefault="00242059" w:rsidP="003D28E7">
            <w:pPr>
              <w:jc w:val="center"/>
              <w:rPr>
                <w:szCs w:val="22"/>
              </w:rPr>
            </w:pPr>
            <w:r w:rsidRPr="00A957B2">
              <w:rPr>
                <w:noProof/>
                <w:szCs w:val="22"/>
              </w:rPr>
              <w:t>5x2**</w:t>
            </w:r>
            <w:bookmarkStart w:id="37" w:name="_GoBack"/>
            <w:bookmarkEnd w:id="37"/>
          </w:p>
        </w:tc>
      </w:tr>
      <w:tr w:rsidR="00A81F6B" w:rsidRPr="00807DAF" w14:paraId="33429183" w14:textId="77777777" w:rsidTr="004B4447">
        <w:tc>
          <w:tcPr>
            <w:tcW w:w="8472" w:type="dxa"/>
            <w:shd w:val="pct10" w:color="auto" w:fill="FFFFFF"/>
            <w:vAlign w:val="center"/>
          </w:tcPr>
          <w:p w14:paraId="03F1A05A" w14:textId="77777777" w:rsidR="00A81F6B" w:rsidRPr="00E94A3D" w:rsidRDefault="00A81F6B" w:rsidP="003D28E7">
            <w:pPr>
              <w:rPr>
                <w:b/>
                <w:szCs w:val="22"/>
              </w:rPr>
            </w:pPr>
            <w:r w:rsidRPr="00E94A3D">
              <w:rPr>
                <w:b/>
                <w:szCs w:val="22"/>
              </w:rPr>
              <w:t>Maximum total score</w:t>
            </w:r>
          </w:p>
        </w:tc>
        <w:tc>
          <w:tcPr>
            <w:tcW w:w="1275" w:type="dxa"/>
            <w:shd w:val="pct10" w:color="auto" w:fill="FFFFFF"/>
            <w:vAlign w:val="center"/>
          </w:tcPr>
          <w:p w14:paraId="67A154E4" w14:textId="77777777" w:rsidR="00A81F6B" w:rsidRPr="00E94A3D" w:rsidRDefault="00A81F6B" w:rsidP="003D28E7">
            <w:pPr>
              <w:jc w:val="center"/>
              <w:rPr>
                <w:b/>
                <w:szCs w:val="22"/>
              </w:rPr>
            </w:pPr>
            <w:r w:rsidRPr="00E94A3D">
              <w:rPr>
                <w:b/>
                <w:noProof/>
                <w:szCs w:val="22"/>
              </w:rPr>
              <w:t>100</w:t>
            </w:r>
          </w:p>
        </w:tc>
      </w:tr>
    </w:tbl>
    <w:p w14:paraId="1BD50A89" w14:textId="77777777" w:rsidR="00210BDC" w:rsidRDefault="00210BDC" w:rsidP="006F280A">
      <w:pPr>
        <w:rPr>
          <w:i/>
        </w:rPr>
      </w:pPr>
    </w:p>
    <w:p w14:paraId="5701E93C" w14:textId="45D0AB97" w:rsidR="00F248A3" w:rsidRDefault="00F248A3" w:rsidP="006F280A">
      <w:r w:rsidRPr="00807DAF">
        <w:lastRenderedPageBreak/>
        <w:t xml:space="preserve">If the </w:t>
      </w:r>
      <w:r w:rsidR="00281295" w:rsidRPr="00807DAF">
        <w:t xml:space="preserve">total score for section </w:t>
      </w:r>
      <w:r w:rsidR="00281295" w:rsidRPr="006D4D47">
        <w:t>1</w:t>
      </w:r>
      <w:r w:rsidR="006D4D47" w:rsidRPr="00241701">
        <w:t xml:space="preserve"> (</w:t>
      </w:r>
      <w:r w:rsidR="009C1D35">
        <w:t>f</w:t>
      </w:r>
      <w:r w:rsidR="006D4D47" w:rsidRPr="007904B1">
        <w:t>inancial and operational capacity)</w:t>
      </w:r>
      <w:r w:rsidR="00281295" w:rsidRPr="00807DAF">
        <w:t xml:space="preserve"> is less than 12 points</w:t>
      </w:r>
      <w:r w:rsidR="00B10F3E" w:rsidRPr="00807DAF">
        <w:t>,</w:t>
      </w:r>
      <w:r w:rsidRPr="00807DAF">
        <w:t xml:space="preserve"> the application will be rejected.</w:t>
      </w:r>
      <w:r w:rsidR="00281295" w:rsidRPr="00807DAF">
        <w:t xml:space="preserve"> If the score for at least one of the subsections under section 1 is 1, the application will also be rejected.</w:t>
      </w:r>
    </w:p>
    <w:p w14:paraId="7F5D76DD" w14:textId="77777777" w:rsidR="00F13FE6" w:rsidRPr="00807DAF" w:rsidRDefault="00F13FE6" w:rsidP="00F13FE6">
      <w:r>
        <w:t xml:space="preserve">If the lead applicant applies without co-applicants or affiliated entities the score for point 3.4 shall be 5 unless the involvement of co-applicants or affiliated entities is mandatory according to these guidelines for applicants.  </w:t>
      </w:r>
    </w:p>
    <w:p w14:paraId="3FA5F4D8" w14:textId="77777777" w:rsidR="00090D7D" w:rsidRDefault="002D73BA" w:rsidP="00AE11A8">
      <w:pPr>
        <w:autoSpaceDE w:val="0"/>
        <w:autoSpaceDN w:val="0"/>
        <w:adjustRightInd w:val="0"/>
        <w:spacing w:before="0" w:after="0"/>
      </w:pPr>
      <w:r>
        <w:rPr>
          <w:szCs w:val="22"/>
          <w:lang w:eastAsia="en-GB"/>
        </w:rPr>
        <w:t xml:space="preserve">Note that </w:t>
      </w:r>
      <w:r w:rsidR="00090D7D">
        <w:rPr>
          <w:szCs w:val="22"/>
          <w:lang w:eastAsia="en-GB"/>
        </w:rPr>
        <w:t>(members of) the evaluation committee or internal assessors evaluating the</w:t>
      </w:r>
      <w:r w:rsidR="0098408E">
        <w:rPr>
          <w:szCs w:val="22"/>
          <w:lang w:eastAsia="en-GB"/>
        </w:rPr>
        <w:t xml:space="preserve"> </w:t>
      </w:r>
      <w:r w:rsidR="00090D7D">
        <w:rPr>
          <w:szCs w:val="22"/>
          <w:lang w:eastAsia="en-GB"/>
        </w:rPr>
        <w:t>full applications may re-evaluate the scores given for the relevance at concept note stage and</w:t>
      </w:r>
      <w:r w:rsidR="0098408E">
        <w:rPr>
          <w:szCs w:val="22"/>
          <w:lang w:eastAsia="en-GB"/>
        </w:rPr>
        <w:t xml:space="preserve"> </w:t>
      </w:r>
      <w:r w:rsidR="00090D7D">
        <w:rPr>
          <w:szCs w:val="22"/>
          <w:lang w:eastAsia="en-GB"/>
        </w:rPr>
        <w:t>transferred to the full application</w:t>
      </w:r>
      <w:r>
        <w:rPr>
          <w:szCs w:val="22"/>
          <w:lang w:eastAsia="en-GB"/>
        </w:rPr>
        <w:t>.</w:t>
      </w:r>
    </w:p>
    <w:p w14:paraId="5CAEE659" w14:textId="77777777" w:rsidR="007904D5" w:rsidRPr="00807DAF" w:rsidRDefault="008F3758" w:rsidP="0098408E">
      <w:r w:rsidRPr="00807DAF">
        <w:t xml:space="preserve">After </w:t>
      </w:r>
      <w:r w:rsidR="00ED5802" w:rsidRPr="00807DAF">
        <w:t xml:space="preserve">the evaluation, </w:t>
      </w:r>
      <w:r w:rsidR="006459C5" w:rsidRPr="00807DAF">
        <w:t>application</w:t>
      </w:r>
      <w:r w:rsidR="00ED5802" w:rsidRPr="00807DAF">
        <w:t xml:space="preserve">s </w:t>
      </w:r>
      <w:r w:rsidR="007904D5">
        <w:t xml:space="preserve">will be </w:t>
      </w:r>
      <w:r w:rsidR="00ED5802" w:rsidRPr="00807DAF">
        <w:t>ranked according to their score</w:t>
      </w:r>
      <w:r w:rsidR="007904D5">
        <w:t xml:space="preserve">. The highest scoring applications will be provisionally selected until </w:t>
      </w:r>
      <w:r w:rsidR="007904D5" w:rsidRPr="00807DAF">
        <w:t xml:space="preserve">the available budget for this </w:t>
      </w:r>
      <w:r w:rsidR="009C1D35">
        <w:t>c</w:t>
      </w:r>
      <w:r w:rsidR="007904D5" w:rsidRPr="00807DAF">
        <w:t xml:space="preserve">all for </w:t>
      </w:r>
      <w:r w:rsidR="009C1D35">
        <w:t>p</w:t>
      </w:r>
      <w:r w:rsidR="007904D5" w:rsidRPr="00807DAF">
        <w:t>roposals</w:t>
      </w:r>
      <w:r w:rsidR="007904D5">
        <w:t xml:space="preserve"> is reached.</w:t>
      </w:r>
    </w:p>
    <w:p w14:paraId="3CC7C30B" w14:textId="77777777" w:rsidR="00ED5802" w:rsidRPr="00807DAF" w:rsidRDefault="004113FC" w:rsidP="006F280A">
      <w:r w:rsidRPr="00807DAF">
        <w:t>In addition, a</w:t>
      </w:r>
      <w:r w:rsidR="00ED5802" w:rsidRPr="00807DAF">
        <w:t xml:space="preserve"> reserve list </w:t>
      </w:r>
      <w:r w:rsidRPr="00807DAF">
        <w:t>will be draw</w:t>
      </w:r>
      <w:r w:rsidR="009C1D35">
        <w:t>n up</w:t>
      </w:r>
      <w:r w:rsidRPr="00807DAF">
        <w:t xml:space="preserve"> </w:t>
      </w:r>
      <w:r w:rsidR="00ED5802" w:rsidRPr="00807DAF">
        <w:t>following the same criteria</w:t>
      </w:r>
      <w:r w:rsidR="009C1D35">
        <w:t xml:space="preserve">. This </w:t>
      </w:r>
      <w:r w:rsidR="00726012">
        <w:t xml:space="preserve">list </w:t>
      </w:r>
      <w:r w:rsidR="003A5FC8">
        <w:t>will</w:t>
      </w:r>
      <w:r w:rsidRPr="00807DAF">
        <w:t xml:space="preserve"> be used if more funds become available during the validity period of the reserve list</w:t>
      </w:r>
      <w:r w:rsidR="00ED5802" w:rsidRPr="00807DAF">
        <w:t>.</w:t>
      </w:r>
    </w:p>
    <w:p w14:paraId="56924740" w14:textId="77777777" w:rsidR="00F20A9C" w:rsidRPr="00807DAF" w:rsidRDefault="00267E4F" w:rsidP="00516C1C">
      <w:pPr>
        <w:tabs>
          <w:tab w:val="left" w:pos="426"/>
        </w:tabs>
        <w:spacing w:before="240"/>
        <w:jc w:val="left"/>
        <w:rPr>
          <w:b/>
          <w:sz w:val="24"/>
          <w:szCs w:val="24"/>
        </w:rPr>
      </w:pPr>
      <w:r w:rsidRPr="00807DAF">
        <w:rPr>
          <w:b/>
          <w:sz w:val="24"/>
          <w:szCs w:val="24"/>
        </w:rPr>
        <w:br w:type="page"/>
      </w:r>
      <w:r w:rsidR="00F20A9C" w:rsidRPr="00807DAF">
        <w:rPr>
          <w:b/>
          <w:sz w:val="24"/>
          <w:szCs w:val="24"/>
        </w:rPr>
        <w:lastRenderedPageBreak/>
        <w:t xml:space="preserve">STEP </w:t>
      </w:r>
      <w:r w:rsidR="00B66332" w:rsidRPr="00807DAF">
        <w:rPr>
          <w:b/>
          <w:sz w:val="24"/>
          <w:szCs w:val="24"/>
        </w:rPr>
        <w:t>3</w:t>
      </w:r>
      <w:r w:rsidR="00F20A9C" w:rsidRPr="00807DAF">
        <w:rPr>
          <w:b/>
          <w:sz w:val="24"/>
          <w:szCs w:val="24"/>
        </w:rPr>
        <w:t>:</w:t>
      </w:r>
      <w:r w:rsidR="00516C1C">
        <w:rPr>
          <w:b/>
          <w:sz w:val="24"/>
          <w:szCs w:val="24"/>
        </w:rPr>
        <w:t xml:space="preserve"> </w:t>
      </w:r>
      <w:r w:rsidR="002D0B7B" w:rsidRPr="00807DAF">
        <w:rPr>
          <w:b/>
          <w:sz w:val="24"/>
          <w:szCs w:val="24"/>
        </w:rPr>
        <w:t>VERIFICATION OF ELIGIBILITY OF THE APPLICANT</w:t>
      </w:r>
      <w:r w:rsidR="00FA1338" w:rsidRPr="00807DAF">
        <w:rPr>
          <w:b/>
          <w:sz w:val="24"/>
          <w:szCs w:val="24"/>
        </w:rPr>
        <w:t>S</w:t>
      </w:r>
      <w:r w:rsidR="002D0B7B" w:rsidRPr="00807DAF">
        <w:rPr>
          <w:b/>
          <w:sz w:val="24"/>
          <w:szCs w:val="24"/>
        </w:rPr>
        <w:t xml:space="preserve"> AND</w:t>
      </w:r>
      <w:r w:rsidR="006C1232" w:rsidRPr="00807DAF">
        <w:rPr>
          <w:b/>
          <w:sz w:val="24"/>
          <w:szCs w:val="24"/>
        </w:rPr>
        <w:t xml:space="preserve"> </w:t>
      </w:r>
      <w:r w:rsidR="000D40CC" w:rsidRPr="00807DAF">
        <w:rPr>
          <w:b/>
          <w:sz w:val="24"/>
          <w:szCs w:val="24"/>
        </w:rPr>
        <w:t xml:space="preserve">AFFILIATED </w:t>
      </w:r>
      <w:proofErr w:type="gramStart"/>
      <w:r w:rsidR="000D40CC" w:rsidRPr="00807DAF">
        <w:rPr>
          <w:b/>
          <w:sz w:val="24"/>
          <w:szCs w:val="24"/>
        </w:rPr>
        <w:t>ENTITY(</w:t>
      </w:r>
      <w:proofErr w:type="gramEnd"/>
      <w:r w:rsidR="000D40CC" w:rsidRPr="00807DAF">
        <w:rPr>
          <w:b/>
          <w:sz w:val="24"/>
          <w:szCs w:val="24"/>
        </w:rPr>
        <w:t>IES)</w:t>
      </w:r>
    </w:p>
    <w:p w14:paraId="44C43C50" w14:textId="77777777" w:rsidR="00F20A9C" w:rsidRPr="00807DAF" w:rsidRDefault="006C1232" w:rsidP="006F280A">
      <w:r w:rsidRPr="00807DAF">
        <w:t>T</w:t>
      </w:r>
      <w:r w:rsidR="00F20A9C" w:rsidRPr="00807DAF">
        <w:t>he eligibility verification</w:t>
      </w:r>
      <w:r w:rsidR="00241701">
        <w:t xml:space="preserve"> will be performed on the basis of</w:t>
      </w:r>
      <w:r w:rsidR="0087633A" w:rsidRPr="00807DAF">
        <w:t xml:space="preserve"> the supporting documents requested </w:t>
      </w:r>
      <w:r w:rsidR="006D1FC0" w:rsidRPr="00807DAF">
        <w:t xml:space="preserve">by </w:t>
      </w:r>
      <w:r w:rsidR="0087633A" w:rsidRPr="00807DAF">
        <w:t xml:space="preserve">the Contracting Authority (see </w:t>
      </w:r>
      <w:r w:rsidR="00D43CBF">
        <w:t>s</w:t>
      </w:r>
      <w:r w:rsidR="00896ECA" w:rsidRPr="00807DAF">
        <w:t>ection</w:t>
      </w:r>
      <w:r w:rsidR="00ED5802" w:rsidRPr="00807DAF">
        <w:t xml:space="preserve"> </w:t>
      </w:r>
      <w:r w:rsidR="0087633A" w:rsidRPr="00807DAF">
        <w:t>2.4)</w:t>
      </w:r>
      <w:r w:rsidR="00241701">
        <w:t xml:space="preserve">. It </w:t>
      </w:r>
      <w:r w:rsidR="00F20A9C" w:rsidRPr="00807DAF">
        <w:t xml:space="preserve">will </w:t>
      </w:r>
      <w:r w:rsidR="00F20A9C" w:rsidRPr="00807DAF">
        <w:rPr>
          <w:u w:val="single"/>
        </w:rPr>
        <w:t>only</w:t>
      </w:r>
      <w:r w:rsidR="00F20A9C" w:rsidRPr="00807DAF">
        <w:t xml:space="preserve"> be performed for the </w:t>
      </w:r>
      <w:r w:rsidR="00577465" w:rsidRPr="00807DAF">
        <w:t xml:space="preserve">applications </w:t>
      </w:r>
      <w:r w:rsidRPr="00807DAF">
        <w:t xml:space="preserve">that have been </w:t>
      </w:r>
      <w:r w:rsidR="0049630B" w:rsidRPr="00807DAF">
        <w:t>provisionally</w:t>
      </w:r>
      <w:r w:rsidR="009C1C8B" w:rsidRPr="00807DAF">
        <w:t xml:space="preserve"> </w:t>
      </w:r>
      <w:r w:rsidR="007A3169" w:rsidRPr="00807DAF">
        <w:t>selected</w:t>
      </w:r>
      <w:r w:rsidRPr="00807DAF">
        <w:t xml:space="preserve"> according to their score and within the available </w:t>
      </w:r>
      <w:r w:rsidR="00241701">
        <w:t xml:space="preserve">budget for this </w:t>
      </w:r>
      <w:r w:rsidR="00E41D25">
        <w:t>c</w:t>
      </w:r>
      <w:r w:rsidR="00241701">
        <w:t>all for proposals</w:t>
      </w:r>
      <w:r w:rsidRPr="00807DAF">
        <w:t xml:space="preserve">. </w:t>
      </w:r>
    </w:p>
    <w:p w14:paraId="374AAFA4" w14:textId="77777777" w:rsidR="00FC4EAA" w:rsidRPr="00807DAF" w:rsidRDefault="007A3169" w:rsidP="007A0900">
      <w:pPr>
        <w:numPr>
          <w:ilvl w:val="0"/>
          <w:numId w:val="24"/>
        </w:numPr>
      </w:pPr>
      <w:r w:rsidRPr="00807DAF">
        <w:t xml:space="preserve">The </w:t>
      </w:r>
      <w:r w:rsidR="00E41D25">
        <w:t>d</w:t>
      </w:r>
      <w:r w:rsidR="007F1763" w:rsidRPr="00807DAF">
        <w:t>eclaration</w:t>
      </w:r>
      <w:r w:rsidRPr="00807DAF">
        <w:t xml:space="preserve"> by the </w:t>
      </w:r>
      <w:r w:rsidR="00C8261E">
        <w:t>lead a</w:t>
      </w:r>
      <w:r w:rsidRPr="00807DAF">
        <w:t xml:space="preserve">pplicant </w:t>
      </w:r>
      <w:r w:rsidRPr="00BC1CD4">
        <w:t>(</w:t>
      </w:r>
      <w:r w:rsidR="00BC1CD4" w:rsidRPr="00A32CF5">
        <w:t>s</w:t>
      </w:r>
      <w:r w:rsidRPr="00BC1CD4">
        <w:t xml:space="preserve">ection </w:t>
      </w:r>
      <w:r w:rsidR="0093519F" w:rsidRPr="007904B1">
        <w:t xml:space="preserve">5 </w:t>
      </w:r>
      <w:r w:rsidRPr="00807DAF">
        <w:t xml:space="preserve">of </w:t>
      </w:r>
      <w:r w:rsidR="001F2AFE">
        <w:t>Annex A.2</w:t>
      </w:r>
      <w:r w:rsidRPr="00807DAF">
        <w:t>) will be cross-</w:t>
      </w:r>
      <w:r w:rsidR="00CF3CC3" w:rsidRPr="00807DAF">
        <w:t xml:space="preserve">checked </w:t>
      </w:r>
      <w:r w:rsidRPr="00807DAF">
        <w:t>with the supporting documents provided by the</w:t>
      </w:r>
      <w:r w:rsidR="00D07C8C">
        <w:t xml:space="preserve"> </w:t>
      </w:r>
      <w:r w:rsidR="00C8261E">
        <w:t>lead a</w:t>
      </w:r>
      <w:r w:rsidRPr="00807DAF">
        <w:t>pplicant</w:t>
      </w:r>
      <w:r w:rsidR="00F20A9C" w:rsidRPr="00807DAF">
        <w:t xml:space="preserve">. Any </w:t>
      </w:r>
      <w:r w:rsidR="0087633A" w:rsidRPr="00807DAF">
        <w:t xml:space="preserve">missing supporting document or any </w:t>
      </w:r>
      <w:r w:rsidR="00F20A9C" w:rsidRPr="00807DAF">
        <w:t xml:space="preserve">incoherence between the </w:t>
      </w:r>
      <w:r w:rsidR="00E41D25">
        <w:t>d</w:t>
      </w:r>
      <w:r w:rsidR="00F20A9C" w:rsidRPr="00807DAF">
        <w:t xml:space="preserve">eclaration by the </w:t>
      </w:r>
      <w:r w:rsidR="00C8261E">
        <w:t>lead a</w:t>
      </w:r>
      <w:r w:rsidR="00F20A9C" w:rsidRPr="00807DAF">
        <w:t xml:space="preserve">pplicant and the supporting documents </w:t>
      </w:r>
      <w:r w:rsidR="007F45D1" w:rsidRPr="00807DAF">
        <w:t>may</w:t>
      </w:r>
      <w:r w:rsidR="00F20A9C" w:rsidRPr="00807DAF">
        <w:t xml:space="preserve"> lead to the rejection of the </w:t>
      </w:r>
      <w:r w:rsidR="006459C5" w:rsidRPr="00807DAF">
        <w:t>application</w:t>
      </w:r>
      <w:r w:rsidR="00F20A9C" w:rsidRPr="00807DAF">
        <w:t xml:space="preserve"> on that sole basis. </w:t>
      </w:r>
    </w:p>
    <w:p w14:paraId="4740F39B" w14:textId="77777777" w:rsidR="00FC4EAA" w:rsidRPr="00807DAF" w:rsidRDefault="0029175E" w:rsidP="007A0900">
      <w:pPr>
        <w:numPr>
          <w:ilvl w:val="0"/>
          <w:numId w:val="24"/>
        </w:numPr>
      </w:pPr>
      <w:r w:rsidRPr="00807DAF">
        <w:t>T</w:t>
      </w:r>
      <w:r w:rsidR="007F45D1" w:rsidRPr="00807DAF">
        <w:t>he eligibility of</w:t>
      </w:r>
      <w:r w:rsidR="00FC4EAA" w:rsidRPr="00807DAF">
        <w:t xml:space="preserve"> applicant</w:t>
      </w:r>
      <w:r w:rsidR="009901E5" w:rsidRPr="00807DAF">
        <w:t>s</w:t>
      </w:r>
      <w:r w:rsidR="00241701">
        <w:t xml:space="preserve"> and</w:t>
      </w:r>
      <w:r w:rsidR="00FC4EAA" w:rsidRPr="00807DAF">
        <w:t xml:space="preserve"> the </w:t>
      </w:r>
      <w:r w:rsidR="009901E5" w:rsidRPr="00807DAF">
        <w:t xml:space="preserve">affiliated </w:t>
      </w:r>
      <w:proofErr w:type="gramStart"/>
      <w:r w:rsidR="009901E5" w:rsidRPr="00807DAF">
        <w:t>entit</w:t>
      </w:r>
      <w:r w:rsidR="007D4CA7" w:rsidRPr="00807DAF">
        <w:t>y</w:t>
      </w:r>
      <w:r w:rsidR="009901E5" w:rsidRPr="00807DAF">
        <w:t>(</w:t>
      </w:r>
      <w:proofErr w:type="spellStart"/>
      <w:proofErr w:type="gramEnd"/>
      <w:r w:rsidR="009901E5" w:rsidRPr="00807DAF">
        <w:t>ies</w:t>
      </w:r>
      <w:proofErr w:type="spellEnd"/>
      <w:r w:rsidR="009901E5" w:rsidRPr="00807DAF">
        <w:t>)</w:t>
      </w:r>
      <w:r w:rsidR="00FC4EAA" w:rsidRPr="00807DAF">
        <w:t xml:space="preserve"> </w:t>
      </w:r>
      <w:r w:rsidR="007F45D1" w:rsidRPr="00807DAF">
        <w:t>will be verified</w:t>
      </w:r>
      <w:r w:rsidR="00FC4EAA" w:rsidRPr="00807DAF">
        <w:t xml:space="preserve"> according to the criteria set out in </w:t>
      </w:r>
      <w:r w:rsidR="00D43CBF">
        <w:t>s</w:t>
      </w:r>
      <w:r w:rsidR="00896ECA" w:rsidRPr="00807DAF">
        <w:t>ection</w:t>
      </w:r>
      <w:r w:rsidR="00671019" w:rsidRPr="00807DAF">
        <w:t>s</w:t>
      </w:r>
      <w:r w:rsidR="00FC4EAA" w:rsidRPr="00807DAF">
        <w:t xml:space="preserve"> 2.1.1,</w:t>
      </w:r>
      <w:r w:rsidR="0087633A" w:rsidRPr="00807DAF">
        <w:t xml:space="preserve"> </w:t>
      </w:r>
      <w:r w:rsidR="00FC4EAA" w:rsidRPr="00807DAF">
        <w:t>2.1.2 and 2.1.3.</w:t>
      </w:r>
    </w:p>
    <w:p w14:paraId="21CE50A9" w14:textId="77777777" w:rsidR="005D7AF3" w:rsidRPr="00807DAF" w:rsidRDefault="008F3758" w:rsidP="006F280A">
      <w:r w:rsidRPr="00807DAF">
        <w:t>A</w:t>
      </w:r>
      <w:r w:rsidR="00CF3CC3" w:rsidRPr="00807DAF">
        <w:t xml:space="preserve">ny rejected </w:t>
      </w:r>
      <w:r w:rsidR="006459C5" w:rsidRPr="00807DAF">
        <w:t>application</w:t>
      </w:r>
      <w:r w:rsidR="005E65D9" w:rsidRPr="00807DAF">
        <w:t xml:space="preserve"> will be replaced by the next best placed </w:t>
      </w:r>
      <w:r w:rsidR="006459C5" w:rsidRPr="00807DAF">
        <w:t>application</w:t>
      </w:r>
      <w:r w:rsidR="00B67806" w:rsidRPr="00807DAF">
        <w:t xml:space="preserve"> </w:t>
      </w:r>
      <w:r w:rsidR="007D4CA7" w:rsidRPr="00807DAF">
        <w:t>on</w:t>
      </w:r>
      <w:r w:rsidR="00B67806" w:rsidRPr="00807DAF">
        <w:t xml:space="preserve"> the reserve list that falls within the available </w:t>
      </w:r>
      <w:r w:rsidR="00241701">
        <w:t xml:space="preserve">budget for this </w:t>
      </w:r>
      <w:r w:rsidR="00E41D25">
        <w:t>c</w:t>
      </w:r>
      <w:r w:rsidR="00241701">
        <w:t>all for proposals</w:t>
      </w:r>
      <w:r w:rsidR="00A214A2" w:rsidRPr="00807DAF">
        <w:t>.</w:t>
      </w:r>
      <w:bookmarkStart w:id="38" w:name="_Toc40507654"/>
    </w:p>
    <w:p w14:paraId="02F92496" w14:textId="77777777" w:rsidR="0007408E" w:rsidRPr="00807DAF" w:rsidRDefault="005D7AF3" w:rsidP="000C1BF8">
      <w:pPr>
        <w:pStyle w:val="Guidelines2"/>
      </w:pPr>
      <w:r w:rsidRPr="00807DAF">
        <w:br w:type="page"/>
      </w:r>
      <w:bookmarkStart w:id="39" w:name="_Toc487024653"/>
      <w:r w:rsidR="00B67806" w:rsidRPr="00807DAF">
        <w:lastRenderedPageBreak/>
        <w:t xml:space="preserve">Submission of supporting documents for </w:t>
      </w:r>
      <w:r w:rsidR="00E44A12" w:rsidRPr="00807DAF">
        <w:t>provisionally</w:t>
      </w:r>
      <w:r w:rsidR="008C00E4" w:rsidRPr="00807DAF">
        <w:t xml:space="preserve"> </w:t>
      </w:r>
      <w:r w:rsidR="00B67806" w:rsidRPr="00807DAF">
        <w:t xml:space="preserve">selected </w:t>
      </w:r>
      <w:r w:rsidR="000C00BF" w:rsidRPr="00807DAF">
        <w:t>applications</w:t>
      </w:r>
      <w:bookmarkEnd w:id="38"/>
      <w:bookmarkEnd w:id="39"/>
      <w:r w:rsidR="0007408E" w:rsidRPr="00807DAF">
        <w:t xml:space="preserve"> </w:t>
      </w:r>
    </w:p>
    <w:p w14:paraId="2AFD4305" w14:textId="77777777" w:rsidR="00511FEE" w:rsidRPr="00412E02" w:rsidRDefault="009901E5" w:rsidP="006F280A">
      <w:pPr>
        <w:rPr>
          <w:szCs w:val="22"/>
        </w:rPr>
      </w:pPr>
      <w:r w:rsidRPr="00412E02">
        <w:rPr>
          <w:szCs w:val="22"/>
        </w:rPr>
        <w:t>A</w:t>
      </w:r>
      <w:r w:rsidR="00D07C8C">
        <w:rPr>
          <w:szCs w:val="22"/>
        </w:rPr>
        <w:t xml:space="preserve"> </w:t>
      </w:r>
      <w:r w:rsidR="00A32CF5">
        <w:rPr>
          <w:szCs w:val="22"/>
        </w:rPr>
        <w:t>lead a</w:t>
      </w:r>
      <w:r w:rsidR="0007408E" w:rsidRPr="00412E02">
        <w:rPr>
          <w:szCs w:val="22"/>
        </w:rPr>
        <w:t xml:space="preserve">pplicant </w:t>
      </w:r>
      <w:r w:rsidR="00D43CBF">
        <w:rPr>
          <w:szCs w:val="22"/>
        </w:rPr>
        <w:t>whose application</w:t>
      </w:r>
      <w:r w:rsidR="00D43CBF" w:rsidRPr="00412E02">
        <w:rPr>
          <w:szCs w:val="22"/>
        </w:rPr>
        <w:t xml:space="preserve"> </w:t>
      </w:r>
      <w:r w:rsidR="00DE7018" w:rsidRPr="00412E02">
        <w:rPr>
          <w:szCs w:val="22"/>
        </w:rPr>
        <w:t>ha</w:t>
      </w:r>
      <w:r w:rsidRPr="00412E02">
        <w:rPr>
          <w:szCs w:val="22"/>
        </w:rPr>
        <w:t>s</w:t>
      </w:r>
      <w:r w:rsidR="00DE7018" w:rsidRPr="00412E02">
        <w:rPr>
          <w:szCs w:val="22"/>
        </w:rPr>
        <w:t xml:space="preserve"> been </w:t>
      </w:r>
      <w:r w:rsidR="001D5B79" w:rsidRPr="00412E02">
        <w:rPr>
          <w:szCs w:val="22"/>
        </w:rPr>
        <w:t xml:space="preserve">provisionally </w:t>
      </w:r>
      <w:r w:rsidR="00DE7018" w:rsidRPr="00412E02">
        <w:rPr>
          <w:szCs w:val="22"/>
        </w:rPr>
        <w:t xml:space="preserve">selected or </w:t>
      </w:r>
      <w:r w:rsidR="002379BB" w:rsidRPr="00412E02">
        <w:rPr>
          <w:szCs w:val="22"/>
        </w:rPr>
        <w:t>placed on</w:t>
      </w:r>
      <w:r w:rsidR="00DE7018" w:rsidRPr="00412E02">
        <w:rPr>
          <w:szCs w:val="22"/>
        </w:rPr>
        <w:t xml:space="preserve"> the reserve list </w:t>
      </w:r>
      <w:r w:rsidR="0007408E" w:rsidRPr="00412E02">
        <w:rPr>
          <w:szCs w:val="22"/>
        </w:rPr>
        <w:t xml:space="preserve">will be informed in writing </w:t>
      </w:r>
      <w:r w:rsidR="00DE7018" w:rsidRPr="00412E02">
        <w:rPr>
          <w:szCs w:val="22"/>
        </w:rPr>
        <w:t>by</w:t>
      </w:r>
      <w:r w:rsidR="0007408E" w:rsidRPr="00412E02">
        <w:rPr>
          <w:szCs w:val="22"/>
        </w:rPr>
        <w:t xml:space="preserve"> the </w:t>
      </w:r>
      <w:r w:rsidR="00701E4D" w:rsidRPr="00412E02">
        <w:rPr>
          <w:szCs w:val="22"/>
        </w:rPr>
        <w:t>C</w:t>
      </w:r>
      <w:r w:rsidR="0007408E" w:rsidRPr="00412E02">
        <w:rPr>
          <w:szCs w:val="22"/>
        </w:rPr>
        <w:t xml:space="preserve">ontracting </w:t>
      </w:r>
      <w:r w:rsidR="00DE7018" w:rsidRPr="00412E02">
        <w:rPr>
          <w:szCs w:val="22"/>
        </w:rPr>
        <w:t>Authority</w:t>
      </w:r>
      <w:r w:rsidR="009C1C8B" w:rsidRPr="00412E02">
        <w:rPr>
          <w:szCs w:val="22"/>
        </w:rPr>
        <w:t xml:space="preserve">. </w:t>
      </w:r>
      <w:r w:rsidR="00725B7A" w:rsidRPr="00412E02">
        <w:rPr>
          <w:szCs w:val="22"/>
        </w:rPr>
        <w:t xml:space="preserve">It </w:t>
      </w:r>
      <w:r w:rsidR="00DE7018" w:rsidRPr="00412E02">
        <w:rPr>
          <w:szCs w:val="22"/>
        </w:rPr>
        <w:t xml:space="preserve">will be requested to supply the following documents in order to allow the Contracting Authority to verify the eligibility of the </w:t>
      </w:r>
      <w:r w:rsidR="00A32CF5">
        <w:rPr>
          <w:szCs w:val="22"/>
        </w:rPr>
        <w:t>lead a</w:t>
      </w:r>
      <w:r w:rsidR="00DE7018" w:rsidRPr="00412E02">
        <w:rPr>
          <w:szCs w:val="22"/>
        </w:rPr>
        <w:t>pplicant</w:t>
      </w:r>
      <w:r w:rsidR="005700D5" w:rsidRPr="00412E02">
        <w:rPr>
          <w:szCs w:val="22"/>
        </w:rPr>
        <w:t xml:space="preserve">, (if any) of the co-applicant(s) </w:t>
      </w:r>
      <w:r w:rsidR="00485E39" w:rsidRPr="00412E02">
        <w:rPr>
          <w:szCs w:val="22"/>
        </w:rPr>
        <w:t>and</w:t>
      </w:r>
      <w:r w:rsidR="005700D5" w:rsidRPr="00412E02">
        <w:rPr>
          <w:szCs w:val="22"/>
        </w:rPr>
        <w:t xml:space="preserve"> (if any)</w:t>
      </w:r>
      <w:r w:rsidR="00485E39" w:rsidRPr="00412E02">
        <w:rPr>
          <w:szCs w:val="22"/>
        </w:rPr>
        <w:t xml:space="preserve"> </w:t>
      </w:r>
      <w:r w:rsidR="005700D5" w:rsidRPr="00412E02">
        <w:rPr>
          <w:szCs w:val="22"/>
        </w:rPr>
        <w:t xml:space="preserve">of </w:t>
      </w:r>
      <w:r w:rsidR="00485E39" w:rsidRPr="00412E02">
        <w:rPr>
          <w:szCs w:val="22"/>
        </w:rPr>
        <w:t xml:space="preserve">their </w:t>
      </w:r>
      <w:r w:rsidR="000D40CC" w:rsidRPr="00412E02">
        <w:rPr>
          <w:szCs w:val="22"/>
        </w:rPr>
        <w:t xml:space="preserve">affiliated </w:t>
      </w:r>
      <w:proofErr w:type="gramStart"/>
      <w:r w:rsidR="000D40CC" w:rsidRPr="00412E02">
        <w:rPr>
          <w:szCs w:val="22"/>
        </w:rPr>
        <w:t>entity(</w:t>
      </w:r>
      <w:proofErr w:type="spellStart"/>
      <w:proofErr w:type="gramEnd"/>
      <w:r w:rsidR="000D40CC" w:rsidRPr="00412E02">
        <w:rPr>
          <w:szCs w:val="22"/>
        </w:rPr>
        <w:t>ies</w:t>
      </w:r>
      <w:proofErr w:type="spellEnd"/>
      <w:r w:rsidR="000D40CC" w:rsidRPr="00412E02">
        <w:rPr>
          <w:szCs w:val="22"/>
        </w:rPr>
        <w:t>)</w:t>
      </w:r>
      <w:r w:rsidR="006F280A" w:rsidRPr="00412E02">
        <w:rPr>
          <w:rStyle w:val="FootnoteReference"/>
          <w:sz w:val="22"/>
          <w:szCs w:val="22"/>
        </w:rPr>
        <w:footnoteReference w:id="44"/>
      </w:r>
      <w:r w:rsidR="00511FEE" w:rsidRPr="00412E02">
        <w:rPr>
          <w:szCs w:val="22"/>
        </w:rPr>
        <w:t>:</w:t>
      </w:r>
    </w:p>
    <w:p w14:paraId="5100D6F5" w14:textId="77777777" w:rsidR="00EC2089" w:rsidRPr="00412E02" w:rsidRDefault="006809B5" w:rsidP="006F280A">
      <w:pPr>
        <w:rPr>
          <w:szCs w:val="22"/>
        </w:rPr>
      </w:pPr>
      <w:r w:rsidRPr="00412E02">
        <w:rPr>
          <w:szCs w:val="22"/>
        </w:rPr>
        <w:t xml:space="preserve"> </w:t>
      </w:r>
      <w:r w:rsidR="00835BB4" w:rsidRPr="00412E02">
        <w:rPr>
          <w:szCs w:val="22"/>
        </w:rPr>
        <w:t xml:space="preserve">Supporting documents </w:t>
      </w:r>
      <w:r w:rsidR="00EC2089" w:rsidRPr="00412E02">
        <w:rPr>
          <w:szCs w:val="22"/>
        </w:rPr>
        <w:t xml:space="preserve">must be provided through PADOR </w:t>
      </w:r>
      <w:r w:rsidR="00D07C8C">
        <w:rPr>
          <w:szCs w:val="22"/>
        </w:rPr>
        <w:t>(</w:t>
      </w:r>
      <w:r w:rsidR="00EC2089" w:rsidRPr="00412E02">
        <w:rPr>
          <w:szCs w:val="22"/>
        </w:rPr>
        <w:t xml:space="preserve">see </w:t>
      </w:r>
      <w:r w:rsidR="004165C6">
        <w:rPr>
          <w:szCs w:val="22"/>
        </w:rPr>
        <w:t>s</w:t>
      </w:r>
      <w:r w:rsidR="00896ECA" w:rsidRPr="00412E02">
        <w:rPr>
          <w:szCs w:val="22"/>
        </w:rPr>
        <w:t>ection</w:t>
      </w:r>
      <w:r w:rsidR="00EC2089" w:rsidRPr="00412E02">
        <w:rPr>
          <w:szCs w:val="22"/>
        </w:rPr>
        <w:t xml:space="preserve"> 2.2</w:t>
      </w:r>
      <w:r w:rsidR="00D07C8C">
        <w:rPr>
          <w:szCs w:val="22"/>
        </w:rPr>
        <w:t>)</w:t>
      </w:r>
    </w:p>
    <w:p w14:paraId="28435211" w14:textId="77777777" w:rsidR="003D1E09" w:rsidRPr="00412E02" w:rsidRDefault="00511FEE" w:rsidP="00DD30E2">
      <w:pPr>
        <w:numPr>
          <w:ilvl w:val="6"/>
          <w:numId w:val="30"/>
        </w:numPr>
        <w:tabs>
          <w:tab w:val="num" w:pos="426"/>
          <w:tab w:val="left" w:pos="567"/>
          <w:tab w:val="left" w:pos="2126"/>
          <w:tab w:val="left" w:pos="2835"/>
        </w:tabs>
        <w:ind w:left="567" w:hanging="283"/>
        <w:rPr>
          <w:szCs w:val="22"/>
        </w:rPr>
      </w:pPr>
      <w:r w:rsidRPr="00412E02">
        <w:rPr>
          <w:szCs w:val="22"/>
        </w:rPr>
        <w:t xml:space="preserve">The statutes or articles of association of the </w:t>
      </w:r>
      <w:r w:rsidR="00A32CF5">
        <w:rPr>
          <w:szCs w:val="22"/>
        </w:rPr>
        <w:t>lead a</w:t>
      </w:r>
      <w:r w:rsidRPr="00412E02">
        <w:rPr>
          <w:szCs w:val="22"/>
        </w:rPr>
        <w:t>pplicant</w:t>
      </w:r>
      <w:r w:rsidR="005700D5" w:rsidRPr="00412E02">
        <w:rPr>
          <w:szCs w:val="22"/>
        </w:rPr>
        <w:t xml:space="preserve">, (if any) of </w:t>
      </w:r>
      <w:r w:rsidR="00327BB2" w:rsidRPr="00412E02">
        <w:rPr>
          <w:szCs w:val="22"/>
        </w:rPr>
        <w:t>each</w:t>
      </w:r>
      <w:r w:rsidR="005700D5" w:rsidRPr="00412E02">
        <w:rPr>
          <w:szCs w:val="22"/>
        </w:rPr>
        <w:t xml:space="preserve"> co-applicant</w:t>
      </w:r>
      <w:r w:rsidR="00D43CBF">
        <w:rPr>
          <w:szCs w:val="22"/>
        </w:rPr>
        <w:t xml:space="preserve"> </w:t>
      </w:r>
      <w:r w:rsidR="005700D5" w:rsidRPr="00412E02">
        <w:rPr>
          <w:szCs w:val="22"/>
        </w:rPr>
        <w:t xml:space="preserve">and (if any) of </w:t>
      </w:r>
      <w:r w:rsidR="00327BB2" w:rsidRPr="00412E02">
        <w:rPr>
          <w:szCs w:val="22"/>
        </w:rPr>
        <w:t>each</w:t>
      </w:r>
      <w:r w:rsidR="005700D5" w:rsidRPr="00412E02">
        <w:rPr>
          <w:szCs w:val="22"/>
        </w:rPr>
        <w:t xml:space="preserve"> affiliated entity</w:t>
      </w:r>
      <w:r w:rsidR="005700D5" w:rsidRPr="00412E02">
        <w:rPr>
          <w:rStyle w:val="FootnoteReference"/>
          <w:sz w:val="22"/>
          <w:szCs w:val="22"/>
        </w:rPr>
        <w:footnoteReference w:id="45"/>
      </w:r>
      <w:r w:rsidR="001E10DA" w:rsidRPr="00412E02">
        <w:rPr>
          <w:szCs w:val="22"/>
        </w:rPr>
        <w:t xml:space="preserve">. </w:t>
      </w:r>
      <w:r w:rsidRPr="00412E02">
        <w:rPr>
          <w:szCs w:val="22"/>
        </w:rPr>
        <w:t>Where the Contracting Authority has recogni</w:t>
      </w:r>
      <w:r w:rsidR="00A016F9" w:rsidRPr="00412E02">
        <w:rPr>
          <w:szCs w:val="22"/>
        </w:rPr>
        <w:t>s</w:t>
      </w:r>
      <w:r w:rsidRPr="00412E02">
        <w:rPr>
          <w:szCs w:val="22"/>
        </w:rPr>
        <w:t xml:space="preserve">ed the </w:t>
      </w:r>
      <w:r w:rsidR="00A32CF5">
        <w:rPr>
          <w:szCs w:val="22"/>
        </w:rPr>
        <w:t>lead a</w:t>
      </w:r>
      <w:r w:rsidRPr="00412E02">
        <w:rPr>
          <w:szCs w:val="22"/>
        </w:rPr>
        <w:t>pplicant’</w:t>
      </w:r>
      <w:r w:rsidR="005700D5" w:rsidRPr="00412E02">
        <w:rPr>
          <w:szCs w:val="22"/>
        </w:rPr>
        <w:t>s,</w:t>
      </w:r>
      <w:r w:rsidRPr="00412E02">
        <w:rPr>
          <w:szCs w:val="22"/>
        </w:rPr>
        <w:t xml:space="preserve"> </w:t>
      </w:r>
      <w:r w:rsidR="005700D5" w:rsidRPr="00412E02">
        <w:rPr>
          <w:szCs w:val="22"/>
        </w:rPr>
        <w:t xml:space="preserve">or the co-applicant(s)’s, or </w:t>
      </w:r>
      <w:r w:rsidR="00327BB2" w:rsidRPr="00412E02">
        <w:rPr>
          <w:szCs w:val="22"/>
        </w:rPr>
        <w:t>their</w:t>
      </w:r>
      <w:r w:rsidR="005700D5" w:rsidRPr="00412E02">
        <w:rPr>
          <w:szCs w:val="22"/>
        </w:rPr>
        <w:t xml:space="preserve"> affiliated entity(</w:t>
      </w:r>
      <w:proofErr w:type="spellStart"/>
      <w:r w:rsidR="005700D5" w:rsidRPr="00412E02">
        <w:rPr>
          <w:szCs w:val="22"/>
        </w:rPr>
        <w:t>ies</w:t>
      </w:r>
      <w:proofErr w:type="spellEnd"/>
      <w:r w:rsidR="005700D5" w:rsidRPr="00412E02">
        <w:rPr>
          <w:szCs w:val="22"/>
        </w:rPr>
        <w:t xml:space="preserve">)’s </w:t>
      </w:r>
      <w:r w:rsidRPr="00412E02">
        <w:rPr>
          <w:szCs w:val="22"/>
        </w:rPr>
        <w:t xml:space="preserve">eligibility for another call for proposals under the same budget line within 2 years before the deadline for receipt of applications, </w:t>
      </w:r>
      <w:r w:rsidR="00327BB2" w:rsidRPr="00412E02">
        <w:rPr>
          <w:szCs w:val="22"/>
        </w:rPr>
        <w:t>it should</w:t>
      </w:r>
      <w:r w:rsidRPr="00412E02">
        <w:rPr>
          <w:szCs w:val="22"/>
        </w:rPr>
        <w:t xml:space="preserve"> </w:t>
      </w:r>
      <w:r w:rsidR="00327BB2" w:rsidRPr="00412E02">
        <w:rPr>
          <w:szCs w:val="22"/>
        </w:rPr>
        <w:t xml:space="preserve">be </w:t>
      </w:r>
      <w:r w:rsidRPr="00412E02">
        <w:rPr>
          <w:szCs w:val="22"/>
        </w:rPr>
        <w:t>submit</w:t>
      </w:r>
      <w:r w:rsidR="00327BB2" w:rsidRPr="00412E02">
        <w:rPr>
          <w:szCs w:val="22"/>
        </w:rPr>
        <w:t>ted</w:t>
      </w:r>
      <w:r w:rsidRPr="00412E02">
        <w:rPr>
          <w:szCs w:val="22"/>
        </w:rPr>
        <w:t xml:space="preserve">, instead of </w:t>
      </w:r>
      <w:r w:rsidR="005700D5" w:rsidRPr="00412E02">
        <w:rPr>
          <w:szCs w:val="22"/>
        </w:rPr>
        <w:t xml:space="preserve">the  </w:t>
      </w:r>
      <w:r w:rsidRPr="00412E02">
        <w:rPr>
          <w:szCs w:val="22"/>
        </w:rPr>
        <w:t>statutes</w:t>
      </w:r>
      <w:r w:rsidR="005700D5" w:rsidRPr="00412E02">
        <w:rPr>
          <w:szCs w:val="22"/>
        </w:rPr>
        <w:t xml:space="preserve"> or articles of association</w:t>
      </w:r>
      <w:r w:rsidRPr="00412E02">
        <w:rPr>
          <w:szCs w:val="22"/>
        </w:rPr>
        <w:t xml:space="preserve">, </w:t>
      </w:r>
      <w:r w:rsidR="002379BB" w:rsidRPr="00412E02">
        <w:rPr>
          <w:szCs w:val="22"/>
        </w:rPr>
        <w:t xml:space="preserve">a </w:t>
      </w:r>
      <w:r w:rsidRPr="00412E02">
        <w:rPr>
          <w:szCs w:val="22"/>
        </w:rPr>
        <w:t xml:space="preserve">copy of the document proving </w:t>
      </w:r>
      <w:r w:rsidR="00327BB2" w:rsidRPr="00412E02">
        <w:rPr>
          <w:szCs w:val="22"/>
        </w:rPr>
        <w:t xml:space="preserve">their </w:t>
      </w:r>
      <w:r w:rsidRPr="00412E02">
        <w:rPr>
          <w:szCs w:val="22"/>
        </w:rPr>
        <w:t xml:space="preserve">eligibility in a former </w:t>
      </w:r>
      <w:r w:rsidR="00737EE1">
        <w:rPr>
          <w:szCs w:val="22"/>
        </w:rPr>
        <w:t>c</w:t>
      </w:r>
      <w:r w:rsidRPr="00412E02">
        <w:rPr>
          <w:szCs w:val="22"/>
        </w:rPr>
        <w:t>all (</w:t>
      </w:r>
      <w:r w:rsidR="00A121F5" w:rsidRPr="00412E02">
        <w:rPr>
          <w:szCs w:val="22"/>
        </w:rPr>
        <w:t>e.g.</w:t>
      </w:r>
      <w:r w:rsidR="002379BB" w:rsidRPr="00412E02">
        <w:rPr>
          <w:szCs w:val="22"/>
        </w:rPr>
        <w:t xml:space="preserve"> a</w:t>
      </w:r>
      <w:r w:rsidRPr="00412E02">
        <w:rPr>
          <w:szCs w:val="22"/>
        </w:rPr>
        <w:t xml:space="preserve"> copy of the </w:t>
      </w:r>
      <w:r w:rsidR="00D43CBF">
        <w:rPr>
          <w:szCs w:val="22"/>
        </w:rPr>
        <w:t>S</w:t>
      </w:r>
      <w:r w:rsidRPr="00412E02">
        <w:rPr>
          <w:szCs w:val="22"/>
        </w:rPr>
        <w:t xml:space="preserve">pecial </w:t>
      </w:r>
      <w:r w:rsidR="00D43CBF">
        <w:rPr>
          <w:szCs w:val="22"/>
        </w:rPr>
        <w:t>C</w:t>
      </w:r>
      <w:r w:rsidRPr="00412E02">
        <w:rPr>
          <w:szCs w:val="22"/>
        </w:rPr>
        <w:t xml:space="preserve">onditions of </w:t>
      </w:r>
      <w:r w:rsidR="00485E39" w:rsidRPr="00412E02">
        <w:rPr>
          <w:szCs w:val="22"/>
        </w:rPr>
        <w:t xml:space="preserve">a </w:t>
      </w:r>
      <w:r w:rsidRPr="00412E02">
        <w:rPr>
          <w:szCs w:val="22"/>
        </w:rPr>
        <w:t>grant contract</w:t>
      </w:r>
      <w:r w:rsidR="00485E39" w:rsidRPr="00412E02">
        <w:rPr>
          <w:szCs w:val="22"/>
        </w:rPr>
        <w:t xml:space="preserve"> received during the reference period</w:t>
      </w:r>
      <w:r w:rsidRPr="00412E02">
        <w:rPr>
          <w:szCs w:val="22"/>
        </w:rPr>
        <w:t>), unless a change in legal status has occurred in the meantime</w:t>
      </w:r>
      <w:r w:rsidRPr="00412E02">
        <w:rPr>
          <w:rStyle w:val="FootnoteReference"/>
          <w:sz w:val="22"/>
          <w:szCs w:val="22"/>
        </w:rPr>
        <w:footnoteReference w:id="46"/>
      </w:r>
      <w:r w:rsidR="00292E73" w:rsidRPr="00412E02">
        <w:rPr>
          <w:szCs w:val="22"/>
        </w:rPr>
        <w:t xml:space="preserve">. </w:t>
      </w:r>
      <w:r w:rsidRPr="00412E02">
        <w:rPr>
          <w:szCs w:val="22"/>
        </w:rPr>
        <w:t xml:space="preserve"> This obligation does not apply to international organisations which have signed a framework agreement with the European Commission. </w:t>
      </w:r>
      <w:r w:rsidR="007C2E1E" w:rsidRPr="00412E02" w:rsidDel="007C2E1E">
        <w:rPr>
          <w:szCs w:val="22"/>
        </w:rPr>
        <w:t xml:space="preserve"> </w:t>
      </w:r>
    </w:p>
    <w:p w14:paraId="39B02095" w14:textId="77777777" w:rsidR="008A4D2D" w:rsidRPr="00412E02" w:rsidRDefault="00424CF8" w:rsidP="007A0900">
      <w:pPr>
        <w:numPr>
          <w:ilvl w:val="6"/>
          <w:numId w:val="30"/>
        </w:numPr>
        <w:tabs>
          <w:tab w:val="left" w:pos="567"/>
          <w:tab w:val="left" w:pos="2126"/>
          <w:tab w:val="left" w:pos="2835"/>
        </w:tabs>
        <w:ind w:left="709"/>
        <w:rPr>
          <w:szCs w:val="22"/>
        </w:rPr>
      </w:pPr>
      <w:r w:rsidRPr="00412E02">
        <w:rPr>
          <w:szCs w:val="22"/>
        </w:rPr>
        <w:t xml:space="preserve">An external audit report produced by an approved auditor, certifying </w:t>
      </w:r>
      <w:r w:rsidR="008A4D2D" w:rsidRPr="00412E02">
        <w:rPr>
          <w:szCs w:val="22"/>
        </w:rPr>
        <w:t>the</w:t>
      </w:r>
      <w:r w:rsidRPr="00412E02">
        <w:rPr>
          <w:szCs w:val="22"/>
        </w:rPr>
        <w:t xml:space="preserve"> </w:t>
      </w:r>
      <w:r w:rsidR="00A32CF5">
        <w:rPr>
          <w:szCs w:val="22"/>
        </w:rPr>
        <w:t>lead a</w:t>
      </w:r>
      <w:r w:rsidR="000C1624" w:rsidRPr="00412E02">
        <w:rPr>
          <w:szCs w:val="22"/>
        </w:rPr>
        <w:t>pplicant's</w:t>
      </w:r>
      <w:r w:rsidRPr="00412E02">
        <w:rPr>
          <w:szCs w:val="22"/>
        </w:rPr>
        <w:t xml:space="preserve"> </w:t>
      </w:r>
      <w:r w:rsidR="008A4D2D" w:rsidRPr="00412E02">
        <w:rPr>
          <w:szCs w:val="22"/>
        </w:rPr>
        <w:t xml:space="preserve">accounts for the last financial year available </w:t>
      </w:r>
      <w:r w:rsidRPr="00412E02">
        <w:rPr>
          <w:szCs w:val="22"/>
        </w:rPr>
        <w:t xml:space="preserve">where the total amount of the </w:t>
      </w:r>
      <w:r w:rsidR="00726908" w:rsidRPr="0035236C">
        <w:rPr>
          <w:bCs/>
          <w:szCs w:val="22"/>
          <w:u w:val="single"/>
          <w:lang w:eastAsia="en-GB"/>
        </w:rPr>
        <w:t>requested EU contribution</w:t>
      </w:r>
      <w:r w:rsidR="0098408E">
        <w:rPr>
          <w:szCs w:val="22"/>
        </w:rPr>
        <w:t xml:space="preserve"> </w:t>
      </w:r>
      <w:r w:rsidRPr="00412E02">
        <w:rPr>
          <w:szCs w:val="22"/>
        </w:rPr>
        <w:t xml:space="preserve">exceeds </w:t>
      </w:r>
      <w:r w:rsidR="0006470D" w:rsidRPr="00412E02">
        <w:rPr>
          <w:szCs w:val="22"/>
        </w:rPr>
        <w:t>EUR</w:t>
      </w:r>
      <w:r w:rsidRPr="00412E02">
        <w:rPr>
          <w:szCs w:val="22"/>
        </w:rPr>
        <w:t xml:space="preserve"> 750</w:t>
      </w:r>
      <w:r w:rsidR="001C0EFE" w:rsidRPr="00412E02">
        <w:rPr>
          <w:szCs w:val="22"/>
        </w:rPr>
        <w:t xml:space="preserve"> </w:t>
      </w:r>
      <w:r w:rsidRPr="00412E02">
        <w:rPr>
          <w:szCs w:val="22"/>
        </w:rPr>
        <w:t>000</w:t>
      </w:r>
      <w:r w:rsidR="008A4D2D" w:rsidRPr="00412E02">
        <w:rPr>
          <w:szCs w:val="22"/>
        </w:rPr>
        <w:t xml:space="preserve"> </w:t>
      </w:r>
      <w:r w:rsidRPr="00412E02">
        <w:rPr>
          <w:szCs w:val="22"/>
        </w:rPr>
        <w:t>(</w:t>
      </w:r>
      <w:r w:rsidR="0006470D" w:rsidRPr="00412E02">
        <w:rPr>
          <w:szCs w:val="22"/>
        </w:rPr>
        <w:t>EUR</w:t>
      </w:r>
      <w:r w:rsidRPr="00412E02">
        <w:rPr>
          <w:szCs w:val="22"/>
        </w:rPr>
        <w:t xml:space="preserve"> 100 000 for an operating grant)</w:t>
      </w:r>
      <w:r w:rsidR="005700D5" w:rsidRPr="00412E02">
        <w:rPr>
          <w:szCs w:val="22"/>
        </w:rPr>
        <w:t>. The external audit report is not required from (if any) the co-applicant(s)</w:t>
      </w:r>
      <w:r w:rsidR="00232C0C">
        <w:rPr>
          <w:szCs w:val="22"/>
        </w:rPr>
        <w:t xml:space="preserve"> </w:t>
      </w:r>
      <w:r w:rsidR="0098408E">
        <w:rPr>
          <w:szCs w:val="22"/>
        </w:rPr>
        <w:t>or</w:t>
      </w:r>
      <w:r w:rsidR="00232C0C">
        <w:rPr>
          <w:szCs w:val="22"/>
        </w:rPr>
        <w:t xml:space="preserve"> affiliated </w:t>
      </w:r>
      <w:proofErr w:type="gramStart"/>
      <w:r w:rsidR="00232C0C">
        <w:rPr>
          <w:szCs w:val="22"/>
        </w:rPr>
        <w:t>entity(</w:t>
      </w:r>
      <w:proofErr w:type="spellStart"/>
      <w:proofErr w:type="gramEnd"/>
      <w:r w:rsidR="00232C0C">
        <w:rPr>
          <w:szCs w:val="22"/>
        </w:rPr>
        <w:t>ies</w:t>
      </w:r>
      <w:proofErr w:type="spellEnd"/>
      <w:r w:rsidR="00232C0C">
        <w:rPr>
          <w:szCs w:val="22"/>
        </w:rPr>
        <w:t>).</w:t>
      </w:r>
    </w:p>
    <w:p w14:paraId="34DEB5C4" w14:textId="5088537D" w:rsidR="00585E31" w:rsidRPr="006F739C" w:rsidRDefault="00511FEE" w:rsidP="0035236C">
      <w:pPr>
        <w:ind w:left="720"/>
        <w:rPr>
          <w:szCs w:val="22"/>
        </w:rPr>
      </w:pPr>
      <w:r w:rsidRPr="006F739C">
        <w:rPr>
          <w:szCs w:val="22"/>
        </w:rPr>
        <w:t xml:space="preserve">This obligation does not apply to </w:t>
      </w:r>
      <w:r w:rsidR="008D4C88" w:rsidRPr="006F739C">
        <w:rPr>
          <w:szCs w:val="22"/>
        </w:rPr>
        <w:t>public bodies</w:t>
      </w:r>
      <w:r w:rsidR="00DD30E2">
        <w:rPr>
          <w:szCs w:val="22"/>
        </w:rPr>
        <w:t>.</w:t>
      </w:r>
      <w:r w:rsidR="008D4C88" w:rsidRPr="006F739C">
        <w:rPr>
          <w:szCs w:val="22"/>
        </w:rPr>
        <w:t xml:space="preserve"> </w:t>
      </w:r>
    </w:p>
    <w:p w14:paraId="3804C1E9" w14:textId="77777777" w:rsidR="00511FEE" w:rsidRPr="00412E02" w:rsidRDefault="00511FEE" w:rsidP="007A0900">
      <w:pPr>
        <w:numPr>
          <w:ilvl w:val="6"/>
          <w:numId w:val="30"/>
        </w:numPr>
        <w:tabs>
          <w:tab w:val="left" w:pos="567"/>
          <w:tab w:val="left" w:pos="2126"/>
          <w:tab w:val="left" w:pos="2835"/>
        </w:tabs>
        <w:ind w:left="709"/>
        <w:rPr>
          <w:szCs w:val="22"/>
        </w:rPr>
      </w:pPr>
      <w:r w:rsidRPr="00412E02">
        <w:rPr>
          <w:szCs w:val="22"/>
        </w:rPr>
        <w:t xml:space="preserve">Legal entity sheet (see </w:t>
      </w:r>
      <w:r w:rsidR="00E007B5">
        <w:rPr>
          <w:szCs w:val="22"/>
        </w:rPr>
        <w:t>A</w:t>
      </w:r>
      <w:r w:rsidRPr="00412E02">
        <w:rPr>
          <w:szCs w:val="22"/>
        </w:rPr>
        <w:t>nnex D</w:t>
      </w:r>
      <w:r w:rsidR="006459C5" w:rsidRPr="00412E02">
        <w:rPr>
          <w:szCs w:val="22"/>
        </w:rPr>
        <w:t xml:space="preserve"> of these </w:t>
      </w:r>
      <w:r w:rsidR="00E007B5">
        <w:rPr>
          <w:szCs w:val="22"/>
        </w:rPr>
        <w:t>g</w:t>
      </w:r>
      <w:r w:rsidR="006459C5" w:rsidRPr="00412E02">
        <w:rPr>
          <w:szCs w:val="22"/>
        </w:rPr>
        <w:t>uidelines</w:t>
      </w:r>
      <w:r w:rsidRPr="00412E02">
        <w:rPr>
          <w:szCs w:val="22"/>
        </w:rPr>
        <w:t>)</w:t>
      </w:r>
      <w:r w:rsidR="0069357C" w:rsidRPr="00412E02">
        <w:rPr>
          <w:szCs w:val="22"/>
        </w:rPr>
        <w:t xml:space="preserve"> </w:t>
      </w:r>
      <w:r w:rsidRPr="00412E02">
        <w:rPr>
          <w:szCs w:val="22"/>
        </w:rPr>
        <w:t xml:space="preserve">duly completed and signed by </w:t>
      </w:r>
      <w:r w:rsidR="00F1605F" w:rsidRPr="00412E02">
        <w:rPr>
          <w:szCs w:val="22"/>
        </w:rPr>
        <w:t xml:space="preserve">each of the </w:t>
      </w:r>
      <w:r w:rsidRPr="00412E02">
        <w:rPr>
          <w:szCs w:val="22"/>
        </w:rPr>
        <w:t>applicant</w:t>
      </w:r>
      <w:r w:rsidR="000C1624" w:rsidRPr="00412E02">
        <w:rPr>
          <w:szCs w:val="22"/>
        </w:rPr>
        <w:t>s</w:t>
      </w:r>
      <w:r w:rsidR="00327BB2" w:rsidRPr="00412E02">
        <w:rPr>
          <w:szCs w:val="22"/>
        </w:rPr>
        <w:t xml:space="preserve"> (i</w:t>
      </w:r>
      <w:r w:rsidR="00D1144F">
        <w:rPr>
          <w:szCs w:val="22"/>
        </w:rPr>
        <w:t>.</w:t>
      </w:r>
      <w:r w:rsidR="00327BB2" w:rsidRPr="00412E02">
        <w:rPr>
          <w:szCs w:val="22"/>
        </w:rPr>
        <w:t>e</w:t>
      </w:r>
      <w:r w:rsidR="00D1144F">
        <w:rPr>
          <w:szCs w:val="22"/>
        </w:rPr>
        <w:t>.</w:t>
      </w:r>
      <w:r w:rsidR="00327BB2" w:rsidRPr="00412E02">
        <w:rPr>
          <w:szCs w:val="22"/>
        </w:rPr>
        <w:t xml:space="preserve"> by the </w:t>
      </w:r>
      <w:r w:rsidR="000F68CC">
        <w:rPr>
          <w:szCs w:val="22"/>
        </w:rPr>
        <w:t>lead a</w:t>
      </w:r>
      <w:r w:rsidR="00327BB2" w:rsidRPr="00412E02">
        <w:rPr>
          <w:szCs w:val="22"/>
        </w:rPr>
        <w:t>pplicant and (if any) by each co-applicant)</w:t>
      </w:r>
      <w:r w:rsidRPr="00412E02">
        <w:rPr>
          <w:szCs w:val="22"/>
        </w:rPr>
        <w:t>, accompanied by the justifying documents requested there. If the applicant</w:t>
      </w:r>
      <w:r w:rsidR="000C1624" w:rsidRPr="00412E02">
        <w:rPr>
          <w:szCs w:val="22"/>
        </w:rPr>
        <w:t>s</w:t>
      </w:r>
      <w:r w:rsidRPr="00412E02">
        <w:rPr>
          <w:szCs w:val="22"/>
        </w:rPr>
        <w:t xml:space="preserve"> </w:t>
      </w:r>
      <w:r w:rsidR="000C1624" w:rsidRPr="00412E02">
        <w:rPr>
          <w:szCs w:val="22"/>
        </w:rPr>
        <w:t xml:space="preserve">have </w:t>
      </w:r>
      <w:r w:rsidRPr="00412E02">
        <w:rPr>
          <w:szCs w:val="22"/>
        </w:rPr>
        <w:t xml:space="preserve">already signed a contract with the </w:t>
      </w:r>
      <w:r w:rsidR="00B75EB7" w:rsidRPr="00412E02">
        <w:rPr>
          <w:szCs w:val="22"/>
        </w:rPr>
        <w:t>Contracting Authority</w:t>
      </w:r>
      <w:r w:rsidRPr="00412E02">
        <w:rPr>
          <w:szCs w:val="22"/>
        </w:rPr>
        <w:t>, instead of the legal entity sheet and supporting documents</w:t>
      </w:r>
      <w:r w:rsidR="008B3646" w:rsidRPr="00412E02">
        <w:rPr>
          <w:szCs w:val="22"/>
        </w:rPr>
        <w:t>,</w:t>
      </w:r>
      <w:r w:rsidRPr="00412E02">
        <w:rPr>
          <w:szCs w:val="22"/>
        </w:rPr>
        <w:t xml:space="preserve"> </w:t>
      </w:r>
      <w:r w:rsidR="00F95172" w:rsidRPr="00412E02">
        <w:rPr>
          <w:szCs w:val="22"/>
        </w:rPr>
        <w:t>the</w:t>
      </w:r>
      <w:r w:rsidRPr="00412E02">
        <w:rPr>
          <w:szCs w:val="22"/>
        </w:rPr>
        <w:t xml:space="preserve"> legal entity number </w:t>
      </w:r>
      <w:r w:rsidR="00F95172" w:rsidRPr="00412E02">
        <w:rPr>
          <w:szCs w:val="22"/>
        </w:rPr>
        <w:t>may be provided</w:t>
      </w:r>
      <w:r w:rsidRPr="00412E02">
        <w:rPr>
          <w:szCs w:val="22"/>
        </w:rPr>
        <w:t>, unless a change in legal status occurred in the meantime.</w:t>
      </w:r>
    </w:p>
    <w:p w14:paraId="298FCFF4" w14:textId="77777777" w:rsidR="00984331" w:rsidRPr="00412E02" w:rsidRDefault="00984331" w:rsidP="007A0900">
      <w:pPr>
        <w:numPr>
          <w:ilvl w:val="0"/>
          <w:numId w:val="31"/>
        </w:numPr>
        <w:tabs>
          <w:tab w:val="left" w:pos="567"/>
          <w:tab w:val="left" w:pos="2126"/>
          <w:tab w:val="left" w:pos="2835"/>
        </w:tabs>
        <w:rPr>
          <w:szCs w:val="22"/>
        </w:rPr>
      </w:pPr>
      <w:r w:rsidRPr="00412E02">
        <w:rPr>
          <w:szCs w:val="22"/>
        </w:rPr>
        <w:t xml:space="preserve">A financial identification form of the </w:t>
      </w:r>
      <w:r w:rsidR="000F68CC">
        <w:rPr>
          <w:szCs w:val="22"/>
        </w:rPr>
        <w:t>lead a</w:t>
      </w:r>
      <w:r w:rsidRPr="00412E02">
        <w:rPr>
          <w:szCs w:val="22"/>
        </w:rPr>
        <w:t xml:space="preserve">pplicant </w:t>
      </w:r>
      <w:r w:rsidR="00327BB2" w:rsidRPr="00412E02">
        <w:rPr>
          <w:szCs w:val="22"/>
        </w:rPr>
        <w:t>(not from co-applicant(s)</w:t>
      </w:r>
      <w:r w:rsidR="00232C0C">
        <w:rPr>
          <w:szCs w:val="22"/>
        </w:rPr>
        <w:t xml:space="preserve">, nor from affiliated </w:t>
      </w:r>
      <w:proofErr w:type="gramStart"/>
      <w:r w:rsidR="00232C0C">
        <w:rPr>
          <w:szCs w:val="22"/>
        </w:rPr>
        <w:t>entity(</w:t>
      </w:r>
      <w:proofErr w:type="spellStart"/>
      <w:proofErr w:type="gramEnd"/>
      <w:r w:rsidR="00232C0C">
        <w:rPr>
          <w:szCs w:val="22"/>
        </w:rPr>
        <w:t>ies</w:t>
      </w:r>
      <w:proofErr w:type="spellEnd"/>
      <w:r w:rsidR="00327BB2" w:rsidRPr="00412E02">
        <w:rPr>
          <w:szCs w:val="22"/>
        </w:rPr>
        <w:t>)</w:t>
      </w:r>
      <w:r w:rsidR="008531F9">
        <w:rPr>
          <w:szCs w:val="22"/>
        </w:rPr>
        <w:t>)</w:t>
      </w:r>
      <w:r w:rsidR="00327BB2" w:rsidRPr="00412E02">
        <w:rPr>
          <w:szCs w:val="22"/>
        </w:rPr>
        <w:t xml:space="preserve"> </w:t>
      </w:r>
      <w:r w:rsidRPr="00412E02">
        <w:rPr>
          <w:szCs w:val="22"/>
        </w:rPr>
        <w:t xml:space="preserve">conforming to the model attached at Annex E of these </w:t>
      </w:r>
      <w:r w:rsidR="00E007B5">
        <w:rPr>
          <w:szCs w:val="22"/>
        </w:rPr>
        <w:t>g</w:t>
      </w:r>
      <w:r w:rsidRPr="00412E02">
        <w:rPr>
          <w:szCs w:val="22"/>
        </w:rPr>
        <w:t xml:space="preserve">uidelines, certified by the bank to which the payments will be made. This bank should be located in the country where the </w:t>
      </w:r>
      <w:r w:rsidR="000F68CC">
        <w:rPr>
          <w:szCs w:val="22"/>
        </w:rPr>
        <w:t>lead a</w:t>
      </w:r>
      <w:r w:rsidRPr="00412E02">
        <w:rPr>
          <w:szCs w:val="22"/>
        </w:rPr>
        <w:t xml:space="preserve">pplicant is established. If the </w:t>
      </w:r>
      <w:r w:rsidR="000F68CC">
        <w:rPr>
          <w:szCs w:val="22"/>
        </w:rPr>
        <w:t>lead a</w:t>
      </w:r>
      <w:r w:rsidRPr="00412E02">
        <w:rPr>
          <w:szCs w:val="22"/>
        </w:rPr>
        <w:t>pplicant has already submitted a financial identification form in the past for a contract where the European Commission was in charge of the payments and intends to use the same bank account, a copy of the previous financial identificatio</w:t>
      </w:r>
      <w:r w:rsidR="00835BB4" w:rsidRPr="00412E02">
        <w:rPr>
          <w:szCs w:val="22"/>
        </w:rPr>
        <w:t>n form may be provided instead.</w:t>
      </w:r>
    </w:p>
    <w:p w14:paraId="33983393" w14:textId="0B8BE29C" w:rsidR="00BB1AE7" w:rsidRPr="00412E02" w:rsidRDefault="00FA546C" w:rsidP="00434BCE">
      <w:pPr>
        <w:ind w:left="567" w:hanging="283"/>
        <w:rPr>
          <w:szCs w:val="22"/>
        </w:rPr>
      </w:pPr>
      <w:r w:rsidRPr="006F739C" w:rsidDel="00FA546C">
        <w:rPr>
          <w:szCs w:val="22"/>
        </w:rPr>
        <w:t xml:space="preserve"> </w:t>
      </w:r>
      <w:r w:rsidRPr="006F739C">
        <w:rPr>
          <w:szCs w:val="22"/>
        </w:rPr>
        <w:t>5</w:t>
      </w:r>
      <w:r w:rsidR="00434BCE" w:rsidRPr="006F739C">
        <w:rPr>
          <w:szCs w:val="22"/>
        </w:rPr>
        <w:t>.</w:t>
      </w:r>
      <w:r w:rsidR="00434BCE" w:rsidRPr="006F739C">
        <w:rPr>
          <w:szCs w:val="22"/>
        </w:rPr>
        <w:tab/>
      </w:r>
      <w:r w:rsidR="00BB1AE7" w:rsidRPr="006F739C">
        <w:rPr>
          <w:szCs w:val="22"/>
        </w:rPr>
        <w:t xml:space="preserve">Entities without legal personality must, to the extent possible, submit the documentation listed above. In addition, a letter must be provided by the legal representative certifying his/her capacity to undertake legal obligations on behalf of the entity. </w:t>
      </w:r>
    </w:p>
    <w:p w14:paraId="70FF6C96" w14:textId="77777777" w:rsidR="00C4175C" w:rsidRPr="00412E02" w:rsidRDefault="00090D7D" w:rsidP="00984331">
      <w:pPr>
        <w:rPr>
          <w:szCs w:val="22"/>
        </w:rPr>
      </w:pPr>
      <w:r>
        <w:rPr>
          <w:szCs w:val="22"/>
        </w:rPr>
        <w:lastRenderedPageBreak/>
        <w:t>T</w:t>
      </w:r>
      <w:r w:rsidR="00C4175C" w:rsidRPr="00412E02">
        <w:rPr>
          <w:szCs w:val="22"/>
        </w:rPr>
        <w:t xml:space="preserve">he </w:t>
      </w:r>
      <w:r w:rsidR="00460A7B" w:rsidRPr="00412E02">
        <w:rPr>
          <w:szCs w:val="22"/>
        </w:rPr>
        <w:t xml:space="preserve">requested </w:t>
      </w:r>
      <w:r w:rsidR="00C4175C" w:rsidRPr="00412E02">
        <w:rPr>
          <w:szCs w:val="22"/>
        </w:rPr>
        <w:t>supporting documents</w:t>
      </w:r>
      <w:r w:rsidR="00E302BC" w:rsidRPr="00412E02">
        <w:rPr>
          <w:szCs w:val="22"/>
        </w:rPr>
        <w:t xml:space="preserve"> </w:t>
      </w:r>
      <w:r>
        <w:rPr>
          <w:szCs w:val="22"/>
        </w:rPr>
        <w:t>(</w:t>
      </w:r>
      <w:r w:rsidR="00E302BC" w:rsidRPr="00412E02">
        <w:rPr>
          <w:szCs w:val="22"/>
        </w:rPr>
        <w:t>uploaded in PADOR</w:t>
      </w:r>
      <w:r>
        <w:rPr>
          <w:szCs w:val="22"/>
        </w:rPr>
        <w:t xml:space="preserve"> or sent together with the PADOR offline form) </w:t>
      </w:r>
      <w:r w:rsidR="00C4175C" w:rsidRPr="00412E02">
        <w:rPr>
          <w:szCs w:val="22"/>
        </w:rPr>
        <w:t>must be supplied in the form of originals</w:t>
      </w:r>
      <w:r w:rsidR="00460A7B" w:rsidRPr="00412E02">
        <w:rPr>
          <w:szCs w:val="22"/>
        </w:rPr>
        <w:t>,</w:t>
      </w:r>
      <w:r w:rsidR="00C4175C" w:rsidRPr="00412E02">
        <w:rPr>
          <w:szCs w:val="22"/>
        </w:rPr>
        <w:t xml:space="preserve"> </w:t>
      </w:r>
      <w:r w:rsidR="00E249FE" w:rsidRPr="00412E02">
        <w:rPr>
          <w:szCs w:val="22"/>
        </w:rPr>
        <w:t>photo</w:t>
      </w:r>
      <w:r w:rsidR="00C4175C" w:rsidRPr="00412E02">
        <w:rPr>
          <w:szCs w:val="22"/>
        </w:rPr>
        <w:t>copies</w:t>
      </w:r>
      <w:r w:rsidR="00460A7B" w:rsidRPr="00412E02">
        <w:rPr>
          <w:szCs w:val="22"/>
        </w:rPr>
        <w:t xml:space="preserve"> or scanned versions (i.e. showing legible stamps, signatures and dates) </w:t>
      </w:r>
      <w:r w:rsidR="00E249FE" w:rsidRPr="00412E02">
        <w:rPr>
          <w:szCs w:val="22"/>
        </w:rPr>
        <w:t>of the said originals</w:t>
      </w:r>
      <w:r w:rsidR="00C4175C" w:rsidRPr="00412E02">
        <w:rPr>
          <w:szCs w:val="22"/>
        </w:rPr>
        <w:t>.</w:t>
      </w:r>
      <w:r w:rsidR="00585E31" w:rsidRPr="00412E02">
        <w:rPr>
          <w:szCs w:val="22"/>
        </w:rPr>
        <w:t xml:space="preserve"> </w:t>
      </w:r>
    </w:p>
    <w:p w14:paraId="11F59CB3" w14:textId="56D4AC4A" w:rsidR="009348D1" w:rsidRPr="00412E02" w:rsidRDefault="009348D1" w:rsidP="00984331">
      <w:pPr>
        <w:rPr>
          <w:szCs w:val="22"/>
        </w:rPr>
      </w:pPr>
      <w:r w:rsidRPr="00412E02">
        <w:rPr>
          <w:szCs w:val="22"/>
        </w:rPr>
        <w:t>Where such documents are not in one of the official languages of the European Union</w:t>
      </w:r>
      <w:r w:rsidR="00B75EB7" w:rsidRPr="001A493A">
        <w:rPr>
          <w:szCs w:val="22"/>
        </w:rPr>
        <w:t>,</w:t>
      </w:r>
      <w:r w:rsidRPr="001A493A">
        <w:rPr>
          <w:szCs w:val="22"/>
        </w:rPr>
        <w:t xml:space="preserve"> a translation into </w:t>
      </w:r>
      <w:r w:rsidRPr="00E873CF">
        <w:rPr>
          <w:szCs w:val="22"/>
        </w:rPr>
        <w:t>one of the languages</w:t>
      </w:r>
      <w:r w:rsidR="004D1B60" w:rsidRPr="00E873CF">
        <w:rPr>
          <w:szCs w:val="22"/>
        </w:rPr>
        <w:t xml:space="preserve"> of the call for proposals</w:t>
      </w:r>
      <w:r w:rsidRPr="001A493A">
        <w:rPr>
          <w:szCs w:val="22"/>
        </w:rPr>
        <w:t xml:space="preserve"> of</w:t>
      </w:r>
      <w:r w:rsidRPr="00412E02">
        <w:rPr>
          <w:szCs w:val="22"/>
        </w:rPr>
        <w:t xml:space="preserve"> the relevant parts of these documents proving the </w:t>
      </w:r>
      <w:r w:rsidR="000F68CC">
        <w:rPr>
          <w:szCs w:val="22"/>
        </w:rPr>
        <w:t>lead a</w:t>
      </w:r>
      <w:r w:rsidRPr="00412E02">
        <w:rPr>
          <w:szCs w:val="22"/>
        </w:rPr>
        <w:t>pplicant</w:t>
      </w:r>
      <w:r w:rsidR="00E94856" w:rsidRPr="00412E02">
        <w:rPr>
          <w:szCs w:val="22"/>
        </w:rPr>
        <w:t>'s</w:t>
      </w:r>
      <w:r w:rsidRPr="00412E02">
        <w:rPr>
          <w:szCs w:val="22"/>
        </w:rPr>
        <w:t xml:space="preserve"> </w:t>
      </w:r>
      <w:r w:rsidR="00E007B5">
        <w:t xml:space="preserve">and, where applicable, co-applicants' and </w:t>
      </w:r>
      <w:r w:rsidR="00E007B5" w:rsidRPr="00BE57B7">
        <w:t>affiliated</w:t>
      </w:r>
      <w:r w:rsidR="00E007B5">
        <w:t xml:space="preserve"> entity(</w:t>
      </w:r>
      <w:proofErr w:type="spellStart"/>
      <w:r w:rsidR="00E007B5">
        <w:t>ies</w:t>
      </w:r>
      <w:proofErr w:type="spellEnd"/>
      <w:r w:rsidR="00E007B5">
        <w:t xml:space="preserve">)' </w:t>
      </w:r>
      <w:r w:rsidR="00E007B5" w:rsidRPr="00412E02">
        <w:rPr>
          <w:szCs w:val="22"/>
        </w:rPr>
        <w:t>eligibility</w:t>
      </w:r>
      <w:r w:rsidRPr="00412E02">
        <w:rPr>
          <w:szCs w:val="22"/>
        </w:rPr>
        <w:t xml:space="preserve"> must be attached</w:t>
      </w:r>
      <w:r w:rsidR="00524552" w:rsidRPr="00412E02">
        <w:rPr>
          <w:szCs w:val="22"/>
        </w:rPr>
        <w:t xml:space="preserve"> </w:t>
      </w:r>
      <w:r w:rsidRPr="00412E02">
        <w:rPr>
          <w:szCs w:val="22"/>
        </w:rPr>
        <w:t>for the purpose of analy</w:t>
      </w:r>
      <w:r w:rsidR="00B75EB7" w:rsidRPr="00412E02">
        <w:rPr>
          <w:szCs w:val="22"/>
        </w:rPr>
        <w:t>s</w:t>
      </w:r>
      <w:r w:rsidRPr="00412E02">
        <w:rPr>
          <w:szCs w:val="22"/>
        </w:rPr>
        <w:t xml:space="preserve">ing the </w:t>
      </w:r>
      <w:r w:rsidR="006459C5" w:rsidRPr="00412E02">
        <w:rPr>
          <w:szCs w:val="22"/>
        </w:rPr>
        <w:t>application</w:t>
      </w:r>
      <w:r w:rsidRPr="00412E02">
        <w:rPr>
          <w:szCs w:val="22"/>
        </w:rPr>
        <w:t>.</w:t>
      </w:r>
    </w:p>
    <w:p w14:paraId="16892937" w14:textId="6080A708" w:rsidR="00A57627" w:rsidRDefault="00A57627" w:rsidP="00984331">
      <w:pPr>
        <w:rPr>
          <w:rStyle w:val="StyleListBullet11ptChar"/>
          <w:szCs w:val="22"/>
        </w:rPr>
      </w:pPr>
      <w:r w:rsidRPr="00412E02">
        <w:rPr>
          <w:rStyle w:val="StyleListBullet11ptChar"/>
          <w:szCs w:val="22"/>
        </w:rPr>
        <w:t xml:space="preserve">Where these documents are in an official language of the European Union other than </w:t>
      </w:r>
      <w:r w:rsidRPr="00E873CF">
        <w:rPr>
          <w:rStyle w:val="StyleListBullet11ptChar"/>
          <w:szCs w:val="22"/>
        </w:rPr>
        <w:t>the languages</w:t>
      </w:r>
      <w:r w:rsidR="004D1B60" w:rsidRPr="00E873CF">
        <w:rPr>
          <w:rStyle w:val="StyleListBullet11ptChar"/>
          <w:szCs w:val="22"/>
        </w:rPr>
        <w:t xml:space="preserve"> of the call for proposals</w:t>
      </w:r>
      <w:r w:rsidRPr="001A493A">
        <w:rPr>
          <w:rStyle w:val="StyleListBullet11ptChar"/>
          <w:szCs w:val="22"/>
        </w:rPr>
        <w:t>, it</w:t>
      </w:r>
      <w:r w:rsidRPr="00412E02">
        <w:rPr>
          <w:rStyle w:val="StyleListBullet11ptChar"/>
          <w:szCs w:val="22"/>
        </w:rPr>
        <w:t xml:space="preserve"> is </w:t>
      </w:r>
      <w:r w:rsidRPr="00412E02">
        <w:rPr>
          <w:b/>
          <w:szCs w:val="22"/>
        </w:rPr>
        <w:t xml:space="preserve">strongly </w:t>
      </w:r>
      <w:r w:rsidRPr="00412E02">
        <w:rPr>
          <w:rStyle w:val="StyleListBullet11ptChar"/>
          <w:szCs w:val="22"/>
        </w:rPr>
        <w:t xml:space="preserve">recommended, in order to facilitate the evaluation, to provide a translation of the relevant parts of the documents, proving the </w:t>
      </w:r>
      <w:r w:rsidR="000F68CC">
        <w:rPr>
          <w:rStyle w:val="StyleListBullet11ptChar"/>
          <w:szCs w:val="22"/>
        </w:rPr>
        <w:t>lead a</w:t>
      </w:r>
      <w:r w:rsidRPr="00412E02">
        <w:rPr>
          <w:rStyle w:val="StyleListBullet11ptChar"/>
          <w:szCs w:val="22"/>
        </w:rPr>
        <w:t>pplicant</w:t>
      </w:r>
      <w:r w:rsidR="00FA2479" w:rsidRPr="00412E02">
        <w:rPr>
          <w:rStyle w:val="StyleListBullet11ptChar"/>
          <w:szCs w:val="22"/>
        </w:rPr>
        <w:t>s'</w:t>
      </w:r>
      <w:r w:rsidRPr="00412E02">
        <w:rPr>
          <w:rStyle w:val="StyleListBullet11ptChar"/>
          <w:szCs w:val="22"/>
        </w:rPr>
        <w:t xml:space="preserve"> </w:t>
      </w:r>
      <w:r w:rsidR="00737EE1">
        <w:t xml:space="preserve">and, where </w:t>
      </w:r>
      <w:r w:rsidR="00737EE1" w:rsidRPr="001A493A">
        <w:t>applicable, co-applicants' and affiliated</w:t>
      </w:r>
      <w:r w:rsidR="00737EE1" w:rsidRPr="00BB086E">
        <w:t xml:space="preserve"> </w:t>
      </w:r>
      <w:proofErr w:type="gramStart"/>
      <w:r w:rsidR="00737EE1" w:rsidRPr="00BB086E">
        <w:t>entity(</w:t>
      </w:r>
      <w:proofErr w:type="spellStart"/>
      <w:proofErr w:type="gramEnd"/>
      <w:r w:rsidR="00737EE1" w:rsidRPr="00BB086E">
        <w:t>ies</w:t>
      </w:r>
      <w:proofErr w:type="spellEnd"/>
      <w:r w:rsidR="00737EE1" w:rsidRPr="00BB086E">
        <w:t xml:space="preserve">)' </w:t>
      </w:r>
      <w:r w:rsidRPr="009E1FC2">
        <w:rPr>
          <w:rStyle w:val="StyleListBullet11ptChar"/>
          <w:szCs w:val="22"/>
        </w:rPr>
        <w:t xml:space="preserve">eligibility, into </w:t>
      </w:r>
      <w:r w:rsidRPr="00E873CF">
        <w:rPr>
          <w:rStyle w:val="StyleListBullet11ptChar"/>
          <w:szCs w:val="22"/>
        </w:rPr>
        <w:t>one of the languages</w:t>
      </w:r>
      <w:r w:rsidR="00B75EB7" w:rsidRPr="00E873CF">
        <w:rPr>
          <w:rStyle w:val="StyleListBullet11ptChar"/>
          <w:szCs w:val="22"/>
        </w:rPr>
        <w:t xml:space="preserve"> </w:t>
      </w:r>
      <w:r w:rsidR="004D1B60" w:rsidRPr="00E873CF">
        <w:rPr>
          <w:rStyle w:val="StyleListBullet11ptChar"/>
          <w:szCs w:val="22"/>
        </w:rPr>
        <w:t xml:space="preserve">of the call </w:t>
      </w:r>
      <w:r w:rsidR="004D1B60" w:rsidRPr="00342AFB">
        <w:rPr>
          <w:rStyle w:val="StyleListBullet11ptChar"/>
          <w:szCs w:val="22"/>
        </w:rPr>
        <w:t>for proposals</w:t>
      </w:r>
      <w:r w:rsidRPr="001A493A">
        <w:rPr>
          <w:rStyle w:val="StyleListBullet11ptChar"/>
          <w:szCs w:val="22"/>
        </w:rPr>
        <w:t>.</w:t>
      </w:r>
    </w:p>
    <w:p w14:paraId="26FEE093" w14:textId="77777777" w:rsidR="00B32C54" w:rsidRPr="00412E02" w:rsidRDefault="00B60CF4" w:rsidP="00984331">
      <w:pPr>
        <w:rPr>
          <w:rStyle w:val="StyleListBullet11ptChar"/>
          <w:szCs w:val="22"/>
        </w:rPr>
      </w:pPr>
      <w:r>
        <w:rPr>
          <w:rStyle w:val="StyleListBullet11ptChar"/>
          <w:szCs w:val="22"/>
        </w:rPr>
        <w:t>Applicants have to take into consideration the time necessary to obtain official documents from national competent authorities and to translate such documents in the authorised languages while registering their data in PADOR.</w:t>
      </w:r>
    </w:p>
    <w:p w14:paraId="1AFA26B8" w14:textId="77777777" w:rsidR="009348D1" w:rsidRPr="00412E02" w:rsidRDefault="009348D1" w:rsidP="00984331">
      <w:pPr>
        <w:rPr>
          <w:szCs w:val="22"/>
        </w:rPr>
      </w:pPr>
      <w:r w:rsidRPr="00412E02">
        <w:rPr>
          <w:szCs w:val="22"/>
        </w:rPr>
        <w:t>If the</w:t>
      </w:r>
      <w:r w:rsidR="00585E31" w:rsidRPr="00412E02">
        <w:rPr>
          <w:szCs w:val="22"/>
        </w:rPr>
        <w:t xml:space="preserve"> </w:t>
      </w:r>
      <w:r w:rsidR="00460A7B" w:rsidRPr="00412E02">
        <w:rPr>
          <w:szCs w:val="22"/>
        </w:rPr>
        <w:t xml:space="preserve">abovementioned </w:t>
      </w:r>
      <w:r w:rsidR="00585E31" w:rsidRPr="00412E02">
        <w:rPr>
          <w:szCs w:val="22"/>
        </w:rPr>
        <w:t>supporting</w:t>
      </w:r>
      <w:r w:rsidRPr="00412E02">
        <w:rPr>
          <w:szCs w:val="22"/>
        </w:rPr>
        <w:t xml:space="preserve"> documents are not provided </w:t>
      </w:r>
      <w:r w:rsidR="00B67806" w:rsidRPr="00412E02">
        <w:rPr>
          <w:szCs w:val="22"/>
        </w:rPr>
        <w:t>before the deadline</w:t>
      </w:r>
      <w:r w:rsidR="00460A7B" w:rsidRPr="00412E02">
        <w:rPr>
          <w:szCs w:val="22"/>
        </w:rPr>
        <w:t xml:space="preserve"> indicated in the request for supporting documents sent to the </w:t>
      </w:r>
      <w:r w:rsidR="000F68CC">
        <w:rPr>
          <w:szCs w:val="22"/>
        </w:rPr>
        <w:t>lead a</w:t>
      </w:r>
      <w:r w:rsidR="00460A7B" w:rsidRPr="00412E02">
        <w:rPr>
          <w:szCs w:val="22"/>
        </w:rPr>
        <w:t>pplicant by the Contracting Authority</w:t>
      </w:r>
      <w:r w:rsidR="00B67806" w:rsidRPr="00412E02">
        <w:rPr>
          <w:szCs w:val="22"/>
        </w:rPr>
        <w:t xml:space="preserve">, the application </w:t>
      </w:r>
      <w:r w:rsidR="00B75EB7" w:rsidRPr="00412E02">
        <w:rPr>
          <w:szCs w:val="22"/>
        </w:rPr>
        <w:t xml:space="preserve">may </w:t>
      </w:r>
      <w:r w:rsidR="00B67806" w:rsidRPr="00412E02">
        <w:rPr>
          <w:szCs w:val="22"/>
        </w:rPr>
        <w:t>be rejected</w:t>
      </w:r>
      <w:r w:rsidRPr="00412E02">
        <w:rPr>
          <w:szCs w:val="22"/>
        </w:rPr>
        <w:t>.</w:t>
      </w:r>
    </w:p>
    <w:p w14:paraId="09AC26FB" w14:textId="77777777" w:rsidR="00DB5567" w:rsidRPr="00412E02" w:rsidRDefault="008B3646" w:rsidP="00984331">
      <w:pPr>
        <w:rPr>
          <w:szCs w:val="22"/>
        </w:rPr>
      </w:pPr>
      <w:r w:rsidRPr="00412E02">
        <w:rPr>
          <w:szCs w:val="22"/>
        </w:rPr>
        <w:t xml:space="preserve">After </w:t>
      </w:r>
      <w:r w:rsidR="00DB5567" w:rsidRPr="00412E02">
        <w:rPr>
          <w:szCs w:val="22"/>
        </w:rPr>
        <w:t>verif</w:t>
      </w:r>
      <w:r w:rsidRPr="00412E02">
        <w:rPr>
          <w:szCs w:val="22"/>
        </w:rPr>
        <w:t>ying</w:t>
      </w:r>
      <w:r w:rsidR="00DB5567" w:rsidRPr="00412E02">
        <w:rPr>
          <w:szCs w:val="22"/>
        </w:rPr>
        <w:t xml:space="preserve"> the supporting documents</w:t>
      </w:r>
      <w:r w:rsidRPr="00412E02">
        <w:rPr>
          <w:szCs w:val="22"/>
        </w:rPr>
        <w:t>,</w:t>
      </w:r>
      <w:r w:rsidR="00DB5567" w:rsidRPr="00412E02">
        <w:rPr>
          <w:szCs w:val="22"/>
        </w:rPr>
        <w:t xml:space="preserve"> the </w:t>
      </w:r>
      <w:r w:rsidR="000F68CC">
        <w:rPr>
          <w:szCs w:val="22"/>
        </w:rPr>
        <w:t>e</w:t>
      </w:r>
      <w:r w:rsidR="00DB5567" w:rsidRPr="00412E02">
        <w:rPr>
          <w:szCs w:val="22"/>
        </w:rPr>
        <w:t xml:space="preserve">valuation </w:t>
      </w:r>
      <w:r w:rsidR="000F68CC">
        <w:rPr>
          <w:szCs w:val="22"/>
        </w:rPr>
        <w:t>c</w:t>
      </w:r>
      <w:r w:rsidR="00DB5567" w:rsidRPr="00412E02">
        <w:rPr>
          <w:szCs w:val="22"/>
        </w:rPr>
        <w:t>ommittee will make a final recommendation to the Contracting Authority</w:t>
      </w:r>
      <w:r w:rsidRPr="00412E02">
        <w:rPr>
          <w:szCs w:val="22"/>
        </w:rPr>
        <w:t>,</w:t>
      </w:r>
      <w:r w:rsidR="00DB5567" w:rsidRPr="00412E02">
        <w:rPr>
          <w:szCs w:val="22"/>
        </w:rPr>
        <w:t xml:space="preserve"> which will decide on the award of grants.</w:t>
      </w:r>
    </w:p>
    <w:p w14:paraId="2C601F43" w14:textId="77777777" w:rsidR="001E10DA" w:rsidRPr="00412E02" w:rsidRDefault="001E10DA" w:rsidP="002D4ACD">
      <w:pPr>
        <w:ind w:left="567" w:hanging="567"/>
        <w:rPr>
          <w:szCs w:val="22"/>
        </w:rPr>
      </w:pPr>
      <w:proofErr w:type="gramStart"/>
      <w:r w:rsidRPr="00412E02">
        <w:rPr>
          <w:szCs w:val="22"/>
        </w:rPr>
        <w:t>NB</w:t>
      </w:r>
      <w:r w:rsidR="007C4C56" w:rsidRPr="00412E02">
        <w:rPr>
          <w:szCs w:val="22"/>
        </w:rPr>
        <w:t xml:space="preserve"> :</w:t>
      </w:r>
      <w:proofErr w:type="gramEnd"/>
      <w:r w:rsidR="007C4C56" w:rsidRPr="00412E02">
        <w:rPr>
          <w:szCs w:val="22"/>
        </w:rPr>
        <w:tab/>
      </w:r>
      <w:r w:rsidRPr="00412E02">
        <w:rPr>
          <w:szCs w:val="22"/>
        </w:rPr>
        <w:t xml:space="preserve">In the eventuality that the Contracting Authority is not satisfied with the strength, solidity, and guarantee offered by the </w:t>
      </w:r>
      <w:r w:rsidR="00991F51" w:rsidRPr="00412E02">
        <w:rPr>
          <w:szCs w:val="22"/>
        </w:rPr>
        <w:t>structural</w:t>
      </w:r>
      <w:r w:rsidRPr="00412E02">
        <w:rPr>
          <w:szCs w:val="22"/>
        </w:rPr>
        <w:t xml:space="preserve"> link between one of the applicants and its affiliated entity, it can require the submission of the missing documents allowing for its conversion into co-applicant.</w:t>
      </w:r>
      <w:r w:rsidR="00154428" w:rsidRPr="00412E02">
        <w:rPr>
          <w:szCs w:val="22"/>
        </w:rPr>
        <w:t xml:space="preserve"> If all the missing documents for co-applicants are submitted, and provided all necessary eligibility criteria are fulfilled, the above mentioned entity becomes a co-applicant for all purposes. The </w:t>
      </w:r>
      <w:r w:rsidR="000F68CC">
        <w:rPr>
          <w:szCs w:val="22"/>
        </w:rPr>
        <w:t>lead a</w:t>
      </w:r>
      <w:r w:rsidR="00154428" w:rsidRPr="00412E02">
        <w:rPr>
          <w:szCs w:val="22"/>
        </w:rPr>
        <w:t>pplicant has to submit the application form revised accordingly.</w:t>
      </w:r>
    </w:p>
    <w:p w14:paraId="7E9C0A07" w14:textId="77777777" w:rsidR="009348D1" w:rsidRPr="00807DAF" w:rsidRDefault="00B67806" w:rsidP="000C1BF8">
      <w:pPr>
        <w:pStyle w:val="Guidelines2"/>
      </w:pPr>
      <w:bookmarkStart w:id="40" w:name="_Toc487024654"/>
      <w:r w:rsidRPr="00807DAF">
        <w:t>Notification of the Contracting Authority’s decision</w:t>
      </w:r>
      <w:bookmarkEnd w:id="40"/>
    </w:p>
    <w:p w14:paraId="4339B3B1" w14:textId="77777777" w:rsidR="00A57627" w:rsidRPr="00807DAF" w:rsidRDefault="00A57627" w:rsidP="007A0900">
      <w:pPr>
        <w:pStyle w:val="Guidelines3"/>
        <w:numPr>
          <w:ilvl w:val="2"/>
          <w:numId w:val="15"/>
        </w:numPr>
      </w:pPr>
      <w:bookmarkStart w:id="41" w:name="_Toc487024655"/>
      <w:r w:rsidRPr="00807DAF">
        <w:t>Content of the decision</w:t>
      </w:r>
      <w:bookmarkEnd w:id="41"/>
    </w:p>
    <w:p w14:paraId="17AF5E9A" w14:textId="77777777" w:rsidR="00AA4FE0" w:rsidRPr="00807DAF" w:rsidRDefault="008A7A99" w:rsidP="00984331">
      <w:pPr>
        <w:spacing w:before="240"/>
      </w:pPr>
      <w:r w:rsidRPr="00807DAF">
        <w:t xml:space="preserve">The </w:t>
      </w:r>
      <w:r w:rsidR="000F68CC">
        <w:t>lead a</w:t>
      </w:r>
      <w:r w:rsidR="00AA4FE0" w:rsidRPr="00807DAF">
        <w:t>pplicant</w:t>
      </w:r>
      <w:r w:rsidR="0067474F" w:rsidRPr="00807DAF">
        <w:t>s</w:t>
      </w:r>
      <w:r w:rsidR="00AA4FE0" w:rsidRPr="00807DAF">
        <w:t xml:space="preserve"> will be informed in writing of the Contracting Authority’s decision concerning their application</w:t>
      </w:r>
      <w:r w:rsidR="000D5F55" w:rsidRPr="00807DAF">
        <w:t xml:space="preserve"> and</w:t>
      </w:r>
      <w:r w:rsidR="00E9669E" w:rsidRPr="00807DAF">
        <w:t>, i</w:t>
      </w:r>
      <w:r w:rsidR="008B3646" w:rsidRPr="00807DAF">
        <w:t>f</w:t>
      </w:r>
      <w:r w:rsidR="00E9669E" w:rsidRPr="00807DAF">
        <w:t xml:space="preserve"> reject</w:t>
      </w:r>
      <w:r w:rsidR="008B3646" w:rsidRPr="00807DAF">
        <w:t>ed</w:t>
      </w:r>
      <w:r w:rsidR="00E9669E" w:rsidRPr="00807DAF">
        <w:t>,</w:t>
      </w:r>
      <w:r w:rsidR="000D5F55" w:rsidRPr="00807DAF">
        <w:t xml:space="preserve"> the reasons for the </w:t>
      </w:r>
      <w:r w:rsidR="00E9669E" w:rsidRPr="00807DAF">
        <w:t xml:space="preserve">negative </w:t>
      </w:r>
      <w:r w:rsidR="000D5F55" w:rsidRPr="00807DAF">
        <w:t>decision</w:t>
      </w:r>
      <w:r w:rsidR="00AA4FE0" w:rsidRPr="00807DAF">
        <w:t>.</w:t>
      </w:r>
      <w:r w:rsidR="003477D3">
        <w:t xml:space="preserve"> </w:t>
      </w:r>
      <w:r w:rsidR="00225B0E" w:rsidRPr="00FE05D4">
        <w:t>This letter will</w:t>
      </w:r>
      <w:r w:rsidR="00D95068">
        <w:t xml:space="preserve"> be sent by e-mail and will</w:t>
      </w:r>
      <w:r w:rsidR="00225B0E" w:rsidRPr="00FE05D4">
        <w:t xml:space="preserve"> appear online automatically in the PROSPECT profile of the</w:t>
      </w:r>
      <w:r w:rsidR="00D07C8C">
        <w:t xml:space="preserve"> </w:t>
      </w:r>
      <w:r w:rsidR="002720EA">
        <w:t>user who submitted the application</w:t>
      </w:r>
      <w:r w:rsidR="00225B0E" w:rsidRPr="00FE05D4">
        <w:t xml:space="preserve">. </w:t>
      </w:r>
      <w:r w:rsidR="000F68CC">
        <w:t>Lead a</w:t>
      </w:r>
      <w:r w:rsidR="00225B0E" w:rsidRPr="00FE05D4">
        <w:t xml:space="preserve">pplicants who, in exceptional cases (see </w:t>
      </w:r>
      <w:r w:rsidR="000F4C9E">
        <w:t>s</w:t>
      </w:r>
      <w:r w:rsidR="00225B0E" w:rsidRPr="00FE05D4">
        <w:t xml:space="preserve">ection </w:t>
      </w:r>
      <w:r w:rsidR="009458DC" w:rsidRPr="00FE05D4">
        <w:t>2.2</w:t>
      </w:r>
      <w:r w:rsidR="00225B0E" w:rsidRPr="00FE05D4">
        <w:t xml:space="preserve">), had to submit their application </w:t>
      </w:r>
      <w:r w:rsidR="00D41D87" w:rsidRPr="00FE05D4">
        <w:t xml:space="preserve">by </w:t>
      </w:r>
      <w:r w:rsidR="00D3351E" w:rsidRPr="00FE05D4">
        <w:t xml:space="preserve">post or hand-delivery, </w:t>
      </w:r>
      <w:r w:rsidR="004D473C" w:rsidRPr="00FE05D4">
        <w:t>will</w:t>
      </w:r>
      <w:r w:rsidR="00D95068">
        <w:t xml:space="preserve"> </w:t>
      </w:r>
      <w:r w:rsidR="004D473C" w:rsidRPr="00FE05D4">
        <w:t xml:space="preserve">be informed </w:t>
      </w:r>
      <w:r w:rsidR="000F4C9E">
        <w:t xml:space="preserve">by email or </w:t>
      </w:r>
      <w:r w:rsidR="00D95068">
        <w:t xml:space="preserve">by post </w:t>
      </w:r>
      <w:r w:rsidR="008F7A94">
        <w:t>if</w:t>
      </w:r>
      <w:r w:rsidR="00D95068">
        <w:t xml:space="preserve"> they did not provide any e-mail address</w:t>
      </w:r>
      <w:r w:rsidR="00225B0E" w:rsidRPr="00FE05D4">
        <w:t>.</w:t>
      </w:r>
      <w:r w:rsidR="00AD58A5">
        <w:t xml:space="preserve"> </w:t>
      </w:r>
      <w:r w:rsidR="00BD1C5F">
        <w:t>Therefore, please check regularly your PROSPECT profile, taking into account the indicative timetable below.</w:t>
      </w:r>
    </w:p>
    <w:p w14:paraId="3DCCF07E" w14:textId="77777777" w:rsidR="000D5F55" w:rsidRDefault="008A7A99" w:rsidP="00984331">
      <w:r w:rsidRPr="00807DAF">
        <w:t>A</w:t>
      </w:r>
      <w:r w:rsidR="000F4C9E">
        <w:t>n</w:t>
      </w:r>
      <w:r w:rsidR="00D07C8C">
        <w:t xml:space="preserve"> </w:t>
      </w:r>
      <w:r w:rsidRPr="00807DAF">
        <w:t>a</w:t>
      </w:r>
      <w:r w:rsidR="000D5F55" w:rsidRPr="00807DAF">
        <w:t xml:space="preserve">pplicant believing that </w:t>
      </w:r>
      <w:r w:rsidRPr="00807DAF">
        <w:t xml:space="preserve">it has </w:t>
      </w:r>
      <w:r w:rsidR="000D5F55" w:rsidRPr="00807DAF">
        <w:t xml:space="preserve">been harmed by an error or irregularity during the award process may </w:t>
      </w:r>
      <w:r w:rsidR="008B3646" w:rsidRPr="00807DAF">
        <w:t xml:space="preserve">lodge </w:t>
      </w:r>
      <w:r w:rsidR="00260548" w:rsidRPr="00807DAF">
        <w:t xml:space="preserve">a complaint. See further </w:t>
      </w:r>
      <w:r w:rsidR="000F4C9E">
        <w:t>s</w:t>
      </w:r>
      <w:r w:rsidR="00896ECA" w:rsidRPr="00807DAF">
        <w:t>ection</w:t>
      </w:r>
      <w:r w:rsidR="00260548" w:rsidRPr="00807DAF">
        <w:t xml:space="preserve"> 2.4.1</w:t>
      </w:r>
      <w:r w:rsidR="00A63ACF" w:rsidRPr="00807DAF">
        <w:t>5</w:t>
      </w:r>
      <w:r w:rsidR="00260548" w:rsidRPr="00807DAF">
        <w:t xml:space="preserve"> of the Practical Guide. </w:t>
      </w:r>
    </w:p>
    <w:p w14:paraId="44E2CB8D" w14:textId="77777777" w:rsidR="002E3CF4" w:rsidRPr="00797DA3" w:rsidRDefault="002E3CF4" w:rsidP="002E3CF4">
      <w:r w:rsidRPr="00797DA3">
        <w:t>Applicants who were unsuccessful at the Opening and Administrative Check stages of the procedure wishing to obtain further information should send their request by letter, indicating the reference of the Call for Proposals and the reference allocated to the proposal, to:</w:t>
      </w:r>
    </w:p>
    <w:p w14:paraId="4BA7CC32" w14:textId="77777777" w:rsidR="002E3CF4" w:rsidRPr="00125FA1" w:rsidRDefault="002E3CF4" w:rsidP="002E3CF4">
      <w:pPr>
        <w:pStyle w:val="Default"/>
        <w:rPr>
          <w:sz w:val="22"/>
          <w:szCs w:val="22"/>
        </w:rPr>
      </w:pPr>
      <w:r w:rsidRPr="00125FA1">
        <w:rPr>
          <w:sz w:val="22"/>
          <w:szCs w:val="22"/>
        </w:rPr>
        <w:t>European Commission</w:t>
      </w:r>
    </w:p>
    <w:p w14:paraId="7F516A2F" w14:textId="77777777" w:rsidR="002E3CF4" w:rsidRPr="00125FA1" w:rsidRDefault="002E3CF4" w:rsidP="002E3CF4">
      <w:pPr>
        <w:pStyle w:val="Default"/>
        <w:rPr>
          <w:sz w:val="22"/>
          <w:szCs w:val="22"/>
        </w:rPr>
      </w:pPr>
      <w:r w:rsidRPr="00125FA1">
        <w:rPr>
          <w:sz w:val="22"/>
          <w:szCs w:val="22"/>
        </w:rPr>
        <w:t xml:space="preserve">Directorate-General for International Development and Cooperation </w:t>
      </w:r>
      <w:r w:rsidRPr="00F07A65">
        <w:rPr>
          <w:sz w:val="22"/>
          <w:szCs w:val="22"/>
        </w:rPr>
        <w:t>—</w:t>
      </w:r>
      <w:r w:rsidRPr="00125FA1">
        <w:rPr>
          <w:sz w:val="22"/>
          <w:szCs w:val="22"/>
        </w:rPr>
        <w:t xml:space="preserve"> </w:t>
      </w:r>
      <w:proofErr w:type="spellStart"/>
      <w:r w:rsidRPr="00125FA1">
        <w:rPr>
          <w:sz w:val="22"/>
          <w:szCs w:val="22"/>
        </w:rPr>
        <w:t>EuropeAid</w:t>
      </w:r>
      <w:proofErr w:type="spellEnd"/>
    </w:p>
    <w:p w14:paraId="71638CF9" w14:textId="0441276C" w:rsidR="002E3CF4" w:rsidRPr="00125FA1" w:rsidRDefault="002E3CF4" w:rsidP="002E3CF4">
      <w:pPr>
        <w:pStyle w:val="Default"/>
        <w:rPr>
          <w:sz w:val="22"/>
          <w:szCs w:val="22"/>
        </w:rPr>
      </w:pPr>
      <w:r w:rsidRPr="00125FA1">
        <w:rPr>
          <w:sz w:val="22"/>
          <w:szCs w:val="22"/>
        </w:rPr>
        <w:t>Unit B.6 “Finance</w:t>
      </w:r>
      <w:r>
        <w:rPr>
          <w:sz w:val="22"/>
          <w:szCs w:val="22"/>
        </w:rPr>
        <w:t xml:space="preserve"> and</w:t>
      </w:r>
      <w:r w:rsidRPr="00125FA1">
        <w:rPr>
          <w:sz w:val="22"/>
          <w:szCs w:val="22"/>
        </w:rPr>
        <w:t xml:space="preserve"> Contracts,”</w:t>
      </w:r>
    </w:p>
    <w:p w14:paraId="13242F0F" w14:textId="77777777" w:rsidR="002E3CF4" w:rsidRPr="00342AFB" w:rsidRDefault="002E3CF4" w:rsidP="002E3CF4">
      <w:pPr>
        <w:pStyle w:val="Default"/>
        <w:rPr>
          <w:sz w:val="22"/>
          <w:szCs w:val="22"/>
          <w:lang w:val="fr-BE"/>
        </w:rPr>
      </w:pPr>
      <w:proofErr w:type="spellStart"/>
      <w:r w:rsidRPr="00342AFB">
        <w:rPr>
          <w:sz w:val="22"/>
          <w:szCs w:val="22"/>
          <w:lang w:val="fr-BE"/>
        </w:rPr>
        <w:t>Attn</w:t>
      </w:r>
      <w:proofErr w:type="spellEnd"/>
      <w:r w:rsidRPr="00342AFB">
        <w:rPr>
          <w:sz w:val="22"/>
          <w:szCs w:val="22"/>
          <w:lang w:val="fr-BE"/>
        </w:rPr>
        <w:t>. Head of Unit</w:t>
      </w:r>
    </w:p>
    <w:p w14:paraId="6E2E1D00" w14:textId="77777777" w:rsidR="002E3CF4" w:rsidRPr="00125FA1" w:rsidRDefault="002E3CF4" w:rsidP="002E3CF4">
      <w:pPr>
        <w:pStyle w:val="Default"/>
        <w:rPr>
          <w:sz w:val="22"/>
          <w:szCs w:val="22"/>
          <w:lang w:val="fr-BE"/>
        </w:rPr>
      </w:pPr>
      <w:r w:rsidRPr="00125FA1">
        <w:rPr>
          <w:sz w:val="22"/>
          <w:szCs w:val="22"/>
          <w:lang w:val="fr-BE"/>
        </w:rPr>
        <w:t>Rue de la Loi, 41</w:t>
      </w:r>
    </w:p>
    <w:p w14:paraId="7A1B7EEF" w14:textId="77777777" w:rsidR="002E3CF4" w:rsidRPr="00342AFB" w:rsidRDefault="002E3CF4" w:rsidP="002E3CF4">
      <w:pPr>
        <w:pStyle w:val="Default"/>
        <w:rPr>
          <w:sz w:val="22"/>
          <w:szCs w:val="22"/>
        </w:rPr>
      </w:pPr>
      <w:r w:rsidRPr="00342AFB">
        <w:rPr>
          <w:sz w:val="22"/>
          <w:szCs w:val="22"/>
        </w:rPr>
        <w:t>B-1049 Brussels</w:t>
      </w:r>
    </w:p>
    <w:p w14:paraId="0BE19349" w14:textId="77777777" w:rsidR="002E3CF4" w:rsidRPr="00125FA1" w:rsidRDefault="002E3CF4" w:rsidP="002E3CF4">
      <w:pPr>
        <w:pStyle w:val="Default"/>
        <w:rPr>
          <w:sz w:val="22"/>
          <w:szCs w:val="22"/>
        </w:rPr>
      </w:pPr>
      <w:r w:rsidRPr="00125FA1">
        <w:rPr>
          <w:sz w:val="22"/>
          <w:szCs w:val="22"/>
        </w:rPr>
        <w:lastRenderedPageBreak/>
        <w:t>Belgium</w:t>
      </w:r>
    </w:p>
    <w:p w14:paraId="67DBFFC1" w14:textId="77777777" w:rsidR="002E3CF4" w:rsidRPr="00797DA3" w:rsidRDefault="002E3CF4" w:rsidP="002E3CF4">
      <w:r w:rsidRPr="00797DA3">
        <w:t>Applicants who were unsuccessful at the Technical evaluation stages of the procedure or at the Eligibility check stage wishing to obtain further information should send their request, by letter indicating the reference of the Call for Proposals and the reference allocated to the proposal, to:</w:t>
      </w:r>
    </w:p>
    <w:p w14:paraId="7DEF7DB4" w14:textId="77777777" w:rsidR="002E3CF4" w:rsidRPr="00125FA1" w:rsidRDefault="002E3CF4" w:rsidP="00C120B8">
      <w:pPr>
        <w:pStyle w:val="Default"/>
        <w:rPr>
          <w:sz w:val="22"/>
          <w:szCs w:val="22"/>
        </w:rPr>
      </w:pPr>
      <w:r w:rsidRPr="00125FA1">
        <w:rPr>
          <w:sz w:val="22"/>
          <w:szCs w:val="22"/>
        </w:rPr>
        <w:t>European Commission</w:t>
      </w:r>
    </w:p>
    <w:p w14:paraId="67B6667D" w14:textId="77777777" w:rsidR="002E3CF4" w:rsidRPr="00125FA1" w:rsidRDefault="002E3CF4" w:rsidP="00A67141">
      <w:pPr>
        <w:pStyle w:val="Default"/>
        <w:rPr>
          <w:sz w:val="22"/>
          <w:szCs w:val="22"/>
        </w:rPr>
      </w:pPr>
      <w:r w:rsidRPr="00125FA1">
        <w:rPr>
          <w:sz w:val="22"/>
          <w:szCs w:val="22"/>
        </w:rPr>
        <w:t xml:space="preserve">Directorate-General for International Development and Cooperation </w:t>
      </w:r>
      <w:r w:rsidRPr="00F07A65">
        <w:rPr>
          <w:sz w:val="22"/>
          <w:szCs w:val="22"/>
        </w:rPr>
        <w:t>—</w:t>
      </w:r>
      <w:r w:rsidRPr="00125FA1">
        <w:rPr>
          <w:sz w:val="22"/>
          <w:szCs w:val="22"/>
        </w:rPr>
        <w:t xml:space="preserve"> </w:t>
      </w:r>
      <w:proofErr w:type="spellStart"/>
      <w:r w:rsidRPr="00125FA1">
        <w:rPr>
          <w:sz w:val="22"/>
          <w:szCs w:val="22"/>
        </w:rPr>
        <w:t>EuropeAid</w:t>
      </w:r>
      <w:proofErr w:type="spellEnd"/>
    </w:p>
    <w:p w14:paraId="5B86AC3D" w14:textId="1BC28197" w:rsidR="002E3CF4" w:rsidRPr="00125FA1" w:rsidRDefault="002E3CF4" w:rsidP="00C120B8">
      <w:pPr>
        <w:pStyle w:val="Default"/>
        <w:rPr>
          <w:sz w:val="22"/>
          <w:szCs w:val="22"/>
        </w:rPr>
      </w:pPr>
      <w:r w:rsidRPr="00C120B8">
        <w:rPr>
          <w:sz w:val="22"/>
          <w:szCs w:val="22"/>
        </w:rPr>
        <w:t>Unit B</w:t>
      </w:r>
      <w:r w:rsidR="00C120B8">
        <w:rPr>
          <w:sz w:val="22"/>
          <w:szCs w:val="22"/>
        </w:rPr>
        <w:t>.</w:t>
      </w:r>
      <w:r w:rsidRPr="00C120B8">
        <w:rPr>
          <w:sz w:val="22"/>
          <w:szCs w:val="22"/>
        </w:rPr>
        <w:t xml:space="preserve">1 </w:t>
      </w:r>
      <w:r w:rsidR="00C120B8" w:rsidRPr="00C120B8">
        <w:rPr>
          <w:sz w:val="22"/>
          <w:szCs w:val="22"/>
        </w:rPr>
        <w:t xml:space="preserve">“Gender Equality, </w:t>
      </w:r>
      <w:r w:rsidRPr="00C120B8">
        <w:rPr>
          <w:sz w:val="22"/>
          <w:szCs w:val="22"/>
        </w:rPr>
        <w:t>Human Rights</w:t>
      </w:r>
      <w:r w:rsidR="00C120B8" w:rsidRPr="00C120B8">
        <w:rPr>
          <w:sz w:val="22"/>
          <w:szCs w:val="22"/>
        </w:rPr>
        <w:t xml:space="preserve"> and</w:t>
      </w:r>
      <w:r w:rsidRPr="00C120B8">
        <w:rPr>
          <w:sz w:val="22"/>
          <w:szCs w:val="22"/>
        </w:rPr>
        <w:t xml:space="preserve"> Democratic Governance”</w:t>
      </w:r>
    </w:p>
    <w:p w14:paraId="588A9067" w14:textId="77777777" w:rsidR="002E3CF4" w:rsidRPr="00125FA1" w:rsidRDefault="002E3CF4" w:rsidP="00C120B8">
      <w:pPr>
        <w:pStyle w:val="Default"/>
        <w:rPr>
          <w:sz w:val="22"/>
          <w:szCs w:val="22"/>
          <w:lang w:val="fr-BE"/>
        </w:rPr>
      </w:pPr>
      <w:proofErr w:type="spellStart"/>
      <w:r w:rsidRPr="00125FA1">
        <w:rPr>
          <w:sz w:val="22"/>
          <w:szCs w:val="22"/>
          <w:lang w:val="fr-BE"/>
        </w:rPr>
        <w:t>Attn</w:t>
      </w:r>
      <w:proofErr w:type="spellEnd"/>
      <w:r w:rsidRPr="00125FA1">
        <w:rPr>
          <w:sz w:val="22"/>
          <w:szCs w:val="22"/>
          <w:lang w:val="fr-BE"/>
        </w:rPr>
        <w:t>. Head of Unit</w:t>
      </w:r>
    </w:p>
    <w:p w14:paraId="56D29D01" w14:textId="77777777" w:rsidR="002E3CF4" w:rsidRPr="00125FA1" w:rsidRDefault="002E3CF4" w:rsidP="00C120B8">
      <w:pPr>
        <w:pStyle w:val="Default"/>
        <w:rPr>
          <w:sz w:val="22"/>
          <w:szCs w:val="22"/>
          <w:lang w:val="fr-BE"/>
        </w:rPr>
      </w:pPr>
      <w:r w:rsidRPr="00125FA1">
        <w:rPr>
          <w:sz w:val="22"/>
          <w:szCs w:val="22"/>
          <w:lang w:val="fr-BE"/>
        </w:rPr>
        <w:t>Rue de la Loi, 41</w:t>
      </w:r>
    </w:p>
    <w:p w14:paraId="68DE042E" w14:textId="77777777" w:rsidR="002E3CF4" w:rsidRPr="00125FA1" w:rsidRDefault="002E3CF4" w:rsidP="00C120B8">
      <w:pPr>
        <w:pStyle w:val="Default"/>
        <w:rPr>
          <w:sz w:val="22"/>
          <w:szCs w:val="22"/>
        </w:rPr>
      </w:pPr>
      <w:r w:rsidRPr="00125FA1">
        <w:rPr>
          <w:sz w:val="22"/>
          <w:szCs w:val="22"/>
        </w:rPr>
        <w:t>B-1049 Brussels</w:t>
      </w:r>
    </w:p>
    <w:p w14:paraId="64E1C8D7" w14:textId="28534A3B" w:rsidR="002E3CF4" w:rsidRDefault="002E3CF4" w:rsidP="00C120B8">
      <w:pPr>
        <w:spacing w:before="0" w:after="0"/>
      </w:pPr>
      <w:r w:rsidRPr="00125FA1">
        <w:rPr>
          <w:szCs w:val="22"/>
        </w:rPr>
        <w:t>Belgium</w:t>
      </w:r>
    </w:p>
    <w:p w14:paraId="7A32F49A" w14:textId="77777777" w:rsidR="0097715A" w:rsidRPr="00807DAF" w:rsidRDefault="00871DD2" w:rsidP="007A0900">
      <w:pPr>
        <w:pStyle w:val="Guidelines3"/>
        <w:numPr>
          <w:ilvl w:val="2"/>
          <w:numId w:val="15"/>
        </w:numPr>
      </w:pPr>
      <w:r>
        <w:br w:type="page"/>
      </w:r>
      <w:bookmarkStart w:id="42" w:name="_Toc487024656"/>
      <w:r w:rsidR="0097715A" w:rsidRPr="00807DAF">
        <w:lastRenderedPageBreak/>
        <w:t>Indicative timetable</w:t>
      </w:r>
      <w:bookmarkEnd w:id="42"/>
      <w:r w:rsidR="0097715A" w:rsidRPr="00807DAF">
        <w:t xml:space="preserve"> </w:t>
      </w:r>
    </w:p>
    <w:p w14:paraId="0FDEA831" w14:textId="77777777" w:rsidR="000E38CD" w:rsidRPr="00807DAF" w:rsidRDefault="000E38CD" w:rsidP="0098433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807DAF" w14:paraId="552CBE20" w14:textId="77777777" w:rsidTr="00984331">
        <w:tc>
          <w:tcPr>
            <w:tcW w:w="4678" w:type="dxa"/>
            <w:tcBorders>
              <w:bottom w:val="nil"/>
            </w:tcBorders>
          </w:tcPr>
          <w:p w14:paraId="6BE71705" w14:textId="77777777" w:rsidR="0013435B" w:rsidRPr="00807DAF" w:rsidRDefault="0013435B" w:rsidP="00F15864">
            <w:pPr>
              <w:rPr>
                <w:szCs w:val="22"/>
              </w:rPr>
            </w:pPr>
          </w:p>
        </w:tc>
        <w:tc>
          <w:tcPr>
            <w:tcW w:w="2552" w:type="dxa"/>
            <w:shd w:val="pct10" w:color="auto" w:fill="FFFFFF"/>
          </w:tcPr>
          <w:p w14:paraId="1B6B1600" w14:textId="77777777" w:rsidR="0013435B" w:rsidRPr="00807DAF" w:rsidRDefault="0013435B" w:rsidP="00F15864">
            <w:pPr>
              <w:jc w:val="center"/>
              <w:rPr>
                <w:b/>
                <w:szCs w:val="22"/>
              </w:rPr>
            </w:pPr>
            <w:r w:rsidRPr="00807DAF">
              <w:rPr>
                <w:b/>
                <w:szCs w:val="22"/>
              </w:rPr>
              <w:t>DATE</w:t>
            </w:r>
          </w:p>
        </w:tc>
        <w:tc>
          <w:tcPr>
            <w:tcW w:w="2551" w:type="dxa"/>
            <w:tcBorders>
              <w:bottom w:val="nil"/>
            </w:tcBorders>
            <w:shd w:val="pct10" w:color="auto" w:fill="FFFFFF"/>
          </w:tcPr>
          <w:p w14:paraId="7637C926" w14:textId="77777777" w:rsidR="0013435B" w:rsidRPr="00807DAF" w:rsidRDefault="00A52D5C" w:rsidP="00F15864">
            <w:pPr>
              <w:jc w:val="center"/>
              <w:rPr>
                <w:b/>
                <w:szCs w:val="22"/>
              </w:rPr>
            </w:pPr>
            <w:r>
              <w:rPr>
                <w:b/>
                <w:szCs w:val="22"/>
              </w:rPr>
              <w:t>TIME</w:t>
            </w:r>
          </w:p>
        </w:tc>
      </w:tr>
      <w:tr w:rsidR="0013435B" w:rsidRPr="00807DAF" w14:paraId="2E677163" w14:textId="77777777" w:rsidTr="00984331">
        <w:tc>
          <w:tcPr>
            <w:tcW w:w="4678" w:type="dxa"/>
            <w:shd w:val="pct10" w:color="auto" w:fill="FFFFFF"/>
          </w:tcPr>
          <w:p w14:paraId="3086AD1D" w14:textId="77777777" w:rsidR="0013435B" w:rsidRPr="00A52D5C" w:rsidRDefault="00873C1D" w:rsidP="00984331">
            <w:pPr>
              <w:jc w:val="left"/>
              <w:rPr>
                <w:szCs w:val="22"/>
              </w:rPr>
            </w:pPr>
            <w:r>
              <w:rPr>
                <w:b/>
                <w:szCs w:val="22"/>
              </w:rPr>
              <w:t xml:space="preserve">1. </w:t>
            </w:r>
            <w:r w:rsidR="00A52D5C">
              <w:rPr>
                <w:b/>
                <w:szCs w:val="22"/>
              </w:rPr>
              <w:t xml:space="preserve">Information meeting, if any </w:t>
            </w:r>
            <w:r w:rsidR="00A52D5C">
              <w:rPr>
                <w:szCs w:val="22"/>
              </w:rPr>
              <w:t>(local time)</w:t>
            </w:r>
          </w:p>
        </w:tc>
        <w:tc>
          <w:tcPr>
            <w:tcW w:w="2552" w:type="dxa"/>
          </w:tcPr>
          <w:p w14:paraId="39AC030F" w14:textId="15F7817D" w:rsidR="0013435B" w:rsidRPr="002E5B8F" w:rsidRDefault="00A957B2" w:rsidP="00A52D5C">
            <w:pPr>
              <w:jc w:val="center"/>
              <w:rPr>
                <w:szCs w:val="22"/>
                <w:highlight w:val="yellow"/>
              </w:rPr>
            </w:pPr>
            <w:r w:rsidRPr="00A957B2">
              <w:rPr>
                <w:szCs w:val="22"/>
              </w:rPr>
              <w:t>NA</w:t>
            </w:r>
          </w:p>
        </w:tc>
        <w:tc>
          <w:tcPr>
            <w:tcW w:w="2551" w:type="dxa"/>
          </w:tcPr>
          <w:p w14:paraId="16FE21E8" w14:textId="4228D7FC" w:rsidR="0013435B" w:rsidRPr="00807DAF" w:rsidRDefault="0013435B" w:rsidP="00A52D5C">
            <w:pPr>
              <w:jc w:val="center"/>
              <w:rPr>
                <w:szCs w:val="22"/>
              </w:rPr>
            </w:pPr>
          </w:p>
        </w:tc>
      </w:tr>
      <w:tr w:rsidR="0013435B" w:rsidRPr="00807DAF" w14:paraId="21BED37A" w14:textId="77777777" w:rsidTr="00984331">
        <w:tc>
          <w:tcPr>
            <w:tcW w:w="4678" w:type="dxa"/>
            <w:shd w:val="pct10" w:color="auto" w:fill="FFFFFF"/>
          </w:tcPr>
          <w:p w14:paraId="5175ADF8" w14:textId="77777777" w:rsidR="0013435B" w:rsidRPr="00807DAF" w:rsidRDefault="00873C1D" w:rsidP="00984331">
            <w:pPr>
              <w:jc w:val="left"/>
              <w:rPr>
                <w:b/>
                <w:szCs w:val="22"/>
              </w:rPr>
            </w:pPr>
            <w:r>
              <w:rPr>
                <w:b/>
                <w:szCs w:val="22"/>
              </w:rPr>
              <w:t xml:space="preserve">2. </w:t>
            </w:r>
            <w:r w:rsidR="0013435B" w:rsidRPr="00807DAF">
              <w:rPr>
                <w:b/>
                <w:szCs w:val="22"/>
              </w:rPr>
              <w:t>Deadline for request</w:t>
            </w:r>
            <w:r w:rsidR="009B7BB7" w:rsidRPr="00807DAF">
              <w:rPr>
                <w:b/>
                <w:szCs w:val="22"/>
              </w:rPr>
              <w:t>ing</w:t>
            </w:r>
            <w:r w:rsidR="0013435B" w:rsidRPr="00807DAF">
              <w:rPr>
                <w:b/>
                <w:szCs w:val="22"/>
              </w:rPr>
              <w:t xml:space="preserve"> any clarifications from the Contracting Authority</w:t>
            </w:r>
          </w:p>
        </w:tc>
        <w:tc>
          <w:tcPr>
            <w:tcW w:w="2552" w:type="dxa"/>
          </w:tcPr>
          <w:p w14:paraId="2A9FD61E" w14:textId="47829184" w:rsidR="0013435B" w:rsidRPr="002E5B8F" w:rsidRDefault="00A957B2" w:rsidP="00F15864">
            <w:pPr>
              <w:jc w:val="center"/>
              <w:rPr>
                <w:szCs w:val="22"/>
                <w:highlight w:val="yellow"/>
              </w:rPr>
            </w:pPr>
            <w:r w:rsidRPr="00A957B2">
              <w:rPr>
                <w:szCs w:val="22"/>
              </w:rPr>
              <w:t>19/10/2017</w:t>
            </w:r>
          </w:p>
        </w:tc>
        <w:tc>
          <w:tcPr>
            <w:tcW w:w="2551" w:type="dxa"/>
          </w:tcPr>
          <w:p w14:paraId="50E5FA44" w14:textId="1F7F7CF6" w:rsidR="0013435B" w:rsidRPr="00807DAF" w:rsidRDefault="00A957B2" w:rsidP="00F15864">
            <w:pPr>
              <w:jc w:val="center"/>
              <w:rPr>
                <w:szCs w:val="22"/>
              </w:rPr>
            </w:pPr>
            <w:r>
              <w:rPr>
                <w:szCs w:val="22"/>
              </w:rPr>
              <w:t>NA</w:t>
            </w:r>
          </w:p>
        </w:tc>
      </w:tr>
      <w:tr w:rsidR="0013435B" w:rsidRPr="00807DAF" w14:paraId="34BC7D88" w14:textId="77777777" w:rsidTr="00984331">
        <w:tc>
          <w:tcPr>
            <w:tcW w:w="4678" w:type="dxa"/>
            <w:shd w:val="pct10" w:color="auto" w:fill="FFFFFF"/>
          </w:tcPr>
          <w:p w14:paraId="30C3C1D1" w14:textId="77777777" w:rsidR="0013435B" w:rsidRPr="00807DAF" w:rsidRDefault="00873C1D" w:rsidP="00984331">
            <w:pPr>
              <w:jc w:val="left"/>
              <w:rPr>
                <w:b/>
                <w:szCs w:val="22"/>
              </w:rPr>
            </w:pPr>
            <w:r>
              <w:rPr>
                <w:b/>
                <w:szCs w:val="22"/>
              </w:rPr>
              <w:t xml:space="preserve">3. </w:t>
            </w:r>
            <w:r w:rsidR="0013435B" w:rsidRPr="00807DAF">
              <w:rPr>
                <w:b/>
                <w:szCs w:val="22"/>
              </w:rPr>
              <w:t>Last date on which clarifications are issued by the Contracting Authority</w:t>
            </w:r>
          </w:p>
        </w:tc>
        <w:tc>
          <w:tcPr>
            <w:tcW w:w="2552" w:type="dxa"/>
          </w:tcPr>
          <w:p w14:paraId="60EF483D" w14:textId="393C3DA6" w:rsidR="0013435B" w:rsidRPr="002E5B8F" w:rsidRDefault="00A957B2" w:rsidP="00F15864">
            <w:pPr>
              <w:jc w:val="center"/>
              <w:rPr>
                <w:szCs w:val="22"/>
                <w:highlight w:val="yellow"/>
              </w:rPr>
            </w:pPr>
            <w:r w:rsidRPr="00A957B2">
              <w:rPr>
                <w:szCs w:val="22"/>
              </w:rPr>
              <w:t>27/10/2017</w:t>
            </w:r>
          </w:p>
        </w:tc>
        <w:tc>
          <w:tcPr>
            <w:tcW w:w="2551" w:type="dxa"/>
          </w:tcPr>
          <w:p w14:paraId="56B339C7" w14:textId="77777777" w:rsidR="0013435B" w:rsidRPr="00807DAF" w:rsidRDefault="0013435B" w:rsidP="00F15864">
            <w:pPr>
              <w:jc w:val="center"/>
              <w:rPr>
                <w:szCs w:val="22"/>
              </w:rPr>
            </w:pPr>
            <w:r w:rsidRPr="00807DAF">
              <w:rPr>
                <w:szCs w:val="22"/>
              </w:rPr>
              <w:t>-</w:t>
            </w:r>
          </w:p>
        </w:tc>
      </w:tr>
      <w:tr w:rsidR="0013435B" w:rsidRPr="00807DAF" w14:paraId="2E93224E" w14:textId="77777777" w:rsidTr="00984331">
        <w:tc>
          <w:tcPr>
            <w:tcW w:w="4678" w:type="dxa"/>
            <w:shd w:val="pct10" w:color="auto" w:fill="FFFFFF"/>
          </w:tcPr>
          <w:p w14:paraId="3E289602" w14:textId="77777777" w:rsidR="0013435B" w:rsidRPr="00807DAF" w:rsidRDefault="00873C1D" w:rsidP="00BC1CD4">
            <w:pPr>
              <w:jc w:val="left"/>
              <w:rPr>
                <w:b/>
                <w:szCs w:val="22"/>
              </w:rPr>
            </w:pPr>
            <w:r>
              <w:rPr>
                <w:b/>
                <w:szCs w:val="22"/>
              </w:rPr>
              <w:t xml:space="preserve">4. </w:t>
            </w:r>
            <w:r w:rsidR="0013435B" w:rsidRPr="00807DAF">
              <w:rPr>
                <w:b/>
                <w:szCs w:val="22"/>
              </w:rPr>
              <w:t xml:space="preserve">Deadline for submission of </w:t>
            </w:r>
            <w:r w:rsidR="00DB5567" w:rsidRPr="00807DAF">
              <w:rPr>
                <w:b/>
                <w:szCs w:val="22"/>
              </w:rPr>
              <w:t xml:space="preserve"> </w:t>
            </w:r>
            <w:r w:rsidR="00BC1CD4">
              <w:rPr>
                <w:b/>
                <w:szCs w:val="22"/>
              </w:rPr>
              <w:t>c</w:t>
            </w:r>
            <w:r w:rsidR="0013435B" w:rsidRPr="00807DAF">
              <w:rPr>
                <w:b/>
                <w:szCs w:val="22"/>
              </w:rPr>
              <w:t xml:space="preserve">oncept </w:t>
            </w:r>
            <w:r w:rsidR="00BC1CD4">
              <w:rPr>
                <w:b/>
                <w:szCs w:val="22"/>
              </w:rPr>
              <w:t>n</w:t>
            </w:r>
            <w:r w:rsidR="0013435B" w:rsidRPr="00807DAF">
              <w:rPr>
                <w:b/>
                <w:szCs w:val="22"/>
              </w:rPr>
              <w:t xml:space="preserve">otes </w:t>
            </w:r>
          </w:p>
        </w:tc>
        <w:tc>
          <w:tcPr>
            <w:tcW w:w="2552" w:type="dxa"/>
          </w:tcPr>
          <w:p w14:paraId="360FAF22" w14:textId="532F53D4" w:rsidR="0013435B" w:rsidRPr="002E5B8F" w:rsidRDefault="00E94A3D" w:rsidP="00E94A3D">
            <w:pPr>
              <w:jc w:val="center"/>
              <w:rPr>
                <w:rFonts w:ascii="Verdana" w:hAnsi="Verdana"/>
                <w:sz w:val="24"/>
                <w:szCs w:val="24"/>
                <w:highlight w:val="yellow"/>
              </w:rPr>
            </w:pPr>
            <w:r w:rsidRPr="00A957B2">
              <w:t xml:space="preserve"> </w:t>
            </w:r>
            <w:r w:rsidR="00A957B2" w:rsidRPr="00A957B2">
              <w:t>09/11/2017</w:t>
            </w:r>
          </w:p>
        </w:tc>
        <w:tc>
          <w:tcPr>
            <w:tcW w:w="2551" w:type="dxa"/>
          </w:tcPr>
          <w:p w14:paraId="12BE6E1E" w14:textId="5715DE33" w:rsidR="0013435B" w:rsidRPr="002F2671" w:rsidRDefault="00A957B2" w:rsidP="00F15864">
            <w:pPr>
              <w:jc w:val="center"/>
              <w:rPr>
                <w:szCs w:val="22"/>
                <w:highlight w:val="green"/>
              </w:rPr>
            </w:pPr>
            <w:r w:rsidRPr="00A957B2">
              <w:rPr>
                <w:szCs w:val="22"/>
              </w:rPr>
              <w:t>16:00</w:t>
            </w:r>
          </w:p>
        </w:tc>
      </w:tr>
      <w:tr w:rsidR="00622381" w:rsidRPr="00807DAF" w14:paraId="7ED2C02E" w14:textId="77777777" w:rsidTr="00984331">
        <w:tc>
          <w:tcPr>
            <w:tcW w:w="4678" w:type="dxa"/>
            <w:shd w:val="pct10" w:color="auto" w:fill="FFFFFF"/>
          </w:tcPr>
          <w:p w14:paraId="5D97E705" w14:textId="77777777" w:rsidR="00622381" w:rsidRPr="00807DAF" w:rsidRDefault="00873C1D" w:rsidP="000F68CC">
            <w:pPr>
              <w:jc w:val="left"/>
              <w:rPr>
                <w:b/>
                <w:szCs w:val="22"/>
              </w:rPr>
            </w:pPr>
            <w:r>
              <w:rPr>
                <w:b/>
                <w:szCs w:val="22"/>
              </w:rPr>
              <w:t xml:space="preserve">5. </w:t>
            </w:r>
            <w:r w:rsidR="00622381" w:rsidRPr="00807DAF">
              <w:rPr>
                <w:b/>
                <w:szCs w:val="22"/>
              </w:rPr>
              <w:t xml:space="preserve">Information to </w:t>
            </w:r>
            <w:r w:rsidR="000F68CC">
              <w:rPr>
                <w:b/>
                <w:szCs w:val="22"/>
              </w:rPr>
              <w:t>lead a</w:t>
            </w:r>
            <w:r w:rsidR="00622381" w:rsidRPr="00807DAF">
              <w:rPr>
                <w:b/>
                <w:szCs w:val="22"/>
              </w:rPr>
              <w:t xml:space="preserve">pplicants on </w:t>
            </w:r>
            <w:r w:rsidR="003743F9" w:rsidRPr="00807DAF">
              <w:rPr>
                <w:b/>
                <w:szCs w:val="22"/>
              </w:rPr>
              <w:t>opening</w:t>
            </w:r>
            <w:r w:rsidR="009B7BB7" w:rsidRPr="00807DAF">
              <w:rPr>
                <w:b/>
                <w:szCs w:val="22"/>
              </w:rPr>
              <w:t xml:space="preserve">, </w:t>
            </w:r>
            <w:r w:rsidR="003743F9" w:rsidRPr="00807DAF">
              <w:rPr>
                <w:b/>
                <w:szCs w:val="22"/>
              </w:rPr>
              <w:t>administrative check</w:t>
            </w:r>
            <w:r w:rsidR="00584247" w:rsidRPr="00807DAF">
              <w:rPr>
                <w:b/>
                <w:szCs w:val="22"/>
              </w:rPr>
              <w:t>s</w:t>
            </w:r>
            <w:r w:rsidR="003743F9" w:rsidRPr="00807DAF">
              <w:rPr>
                <w:b/>
                <w:szCs w:val="22"/>
              </w:rPr>
              <w:t xml:space="preserve"> and </w:t>
            </w:r>
            <w:r w:rsidR="005A61AA" w:rsidRPr="00807DAF">
              <w:rPr>
                <w:b/>
                <w:szCs w:val="22"/>
              </w:rPr>
              <w:t xml:space="preserve">concept note </w:t>
            </w:r>
            <w:r w:rsidR="00622381" w:rsidRPr="00807DAF">
              <w:rPr>
                <w:b/>
                <w:szCs w:val="22"/>
              </w:rPr>
              <w:t xml:space="preserve">evaluation </w:t>
            </w:r>
            <w:r w:rsidR="00E708CB" w:rsidRPr="00807DAF">
              <w:rPr>
                <w:b/>
                <w:szCs w:val="22"/>
              </w:rPr>
              <w:t xml:space="preserve"> (</w:t>
            </w:r>
            <w:r w:rsidR="009B7BB7" w:rsidRPr="00807DAF">
              <w:rPr>
                <w:b/>
                <w:szCs w:val="22"/>
              </w:rPr>
              <w:t>S</w:t>
            </w:r>
            <w:r w:rsidR="00E708CB" w:rsidRPr="00807DAF">
              <w:rPr>
                <w:b/>
                <w:szCs w:val="22"/>
              </w:rPr>
              <w:t xml:space="preserve">tep </w:t>
            </w:r>
            <w:r w:rsidR="003743F9" w:rsidRPr="00807DAF">
              <w:rPr>
                <w:b/>
                <w:szCs w:val="22"/>
              </w:rPr>
              <w:t>1</w:t>
            </w:r>
            <w:r w:rsidR="00E708CB" w:rsidRPr="00807DAF">
              <w:rPr>
                <w:b/>
                <w:szCs w:val="22"/>
              </w:rPr>
              <w:t>)</w:t>
            </w:r>
          </w:p>
        </w:tc>
        <w:tc>
          <w:tcPr>
            <w:tcW w:w="2552" w:type="dxa"/>
          </w:tcPr>
          <w:p w14:paraId="27869F1B" w14:textId="2C536940" w:rsidR="00622381" w:rsidRPr="004736ED" w:rsidRDefault="004736ED" w:rsidP="00F15864">
            <w:pPr>
              <w:jc w:val="center"/>
              <w:rPr>
                <w:szCs w:val="22"/>
              </w:rPr>
            </w:pPr>
            <w:r w:rsidRPr="004736ED">
              <w:rPr>
                <w:szCs w:val="22"/>
              </w:rPr>
              <w:t>February 2018</w:t>
            </w:r>
          </w:p>
        </w:tc>
        <w:tc>
          <w:tcPr>
            <w:tcW w:w="2551" w:type="dxa"/>
          </w:tcPr>
          <w:p w14:paraId="7292A50C" w14:textId="77777777" w:rsidR="00622381" w:rsidRPr="00807DAF" w:rsidRDefault="00622381" w:rsidP="00F15864">
            <w:pPr>
              <w:jc w:val="center"/>
              <w:rPr>
                <w:szCs w:val="22"/>
              </w:rPr>
            </w:pPr>
            <w:r w:rsidRPr="00807DAF">
              <w:rPr>
                <w:szCs w:val="22"/>
              </w:rPr>
              <w:t>-</w:t>
            </w:r>
          </w:p>
        </w:tc>
      </w:tr>
      <w:tr w:rsidR="0013435B" w:rsidRPr="00807DAF" w14:paraId="44ECBCF0" w14:textId="77777777" w:rsidTr="00984331">
        <w:tc>
          <w:tcPr>
            <w:tcW w:w="4678" w:type="dxa"/>
            <w:shd w:val="pct10" w:color="auto" w:fill="FFFFFF"/>
          </w:tcPr>
          <w:p w14:paraId="7623AA74" w14:textId="77777777" w:rsidR="0013435B" w:rsidRPr="00807DAF" w:rsidRDefault="00873C1D" w:rsidP="00C07DDB">
            <w:pPr>
              <w:jc w:val="left"/>
              <w:rPr>
                <w:b/>
                <w:szCs w:val="22"/>
              </w:rPr>
            </w:pPr>
            <w:r>
              <w:rPr>
                <w:b/>
                <w:szCs w:val="22"/>
              </w:rPr>
              <w:t xml:space="preserve">6. </w:t>
            </w:r>
            <w:r w:rsidR="00622381" w:rsidRPr="00807DAF">
              <w:rPr>
                <w:b/>
                <w:szCs w:val="22"/>
              </w:rPr>
              <w:t>Invitations</w:t>
            </w:r>
            <w:r w:rsidR="0013435B" w:rsidRPr="00807DAF">
              <w:rPr>
                <w:b/>
                <w:szCs w:val="22"/>
              </w:rPr>
              <w:t xml:space="preserve"> </w:t>
            </w:r>
            <w:r w:rsidR="009B7BB7" w:rsidRPr="00807DAF">
              <w:rPr>
                <w:b/>
                <w:szCs w:val="22"/>
              </w:rPr>
              <w:t xml:space="preserve">to </w:t>
            </w:r>
            <w:r w:rsidR="0013435B" w:rsidRPr="00807DAF">
              <w:rPr>
                <w:b/>
                <w:szCs w:val="22"/>
              </w:rPr>
              <w:t>submi</w:t>
            </w:r>
            <w:r w:rsidR="009B7BB7" w:rsidRPr="00807DAF">
              <w:rPr>
                <w:b/>
                <w:szCs w:val="22"/>
              </w:rPr>
              <w:t>t</w:t>
            </w:r>
            <w:r w:rsidR="0013435B" w:rsidRPr="00807DAF">
              <w:rPr>
                <w:b/>
                <w:szCs w:val="22"/>
              </w:rPr>
              <w:t xml:space="preserve"> </w:t>
            </w:r>
            <w:r w:rsidR="00C07DDB">
              <w:rPr>
                <w:b/>
                <w:szCs w:val="22"/>
              </w:rPr>
              <w:t>f</w:t>
            </w:r>
            <w:r w:rsidR="0013435B" w:rsidRPr="00807DAF">
              <w:rPr>
                <w:b/>
                <w:szCs w:val="22"/>
              </w:rPr>
              <w:t xml:space="preserve">ull </w:t>
            </w:r>
            <w:r w:rsidR="00C07DDB">
              <w:rPr>
                <w:b/>
                <w:szCs w:val="22"/>
              </w:rPr>
              <w:t>a</w:t>
            </w:r>
            <w:r w:rsidR="003477D3">
              <w:rPr>
                <w:b/>
                <w:szCs w:val="22"/>
              </w:rPr>
              <w:t>pplication</w:t>
            </w:r>
            <w:r w:rsidR="00C07DDB">
              <w:rPr>
                <w:b/>
                <w:szCs w:val="22"/>
              </w:rPr>
              <w:t>s</w:t>
            </w:r>
            <w:r w:rsidR="003477D3">
              <w:rPr>
                <w:b/>
                <w:szCs w:val="22"/>
              </w:rPr>
              <w:t xml:space="preserve"> </w:t>
            </w:r>
          </w:p>
        </w:tc>
        <w:tc>
          <w:tcPr>
            <w:tcW w:w="2552" w:type="dxa"/>
          </w:tcPr>
          <w:p w14:paraId="514F2D2F" w14:textId="49F00A6D" w:rsidR="0013435B" w:rsidRPr="004736ED" w:rsidRDefault="004736ED" w:rsidP="00F15864">
            <w:pPr>
              <w:jc w:val="center"/>
              <w:rPr>
                <w:szCs w:val="22"/>
              </w:rPr>
            </w:pPr>
            <w:r w:rsidRPr="004736ED">
              <w:rPr>
                <w:szCs w:val="22"/>
              </w:rPr>
              <w:t>February 2018</w:t>
            </w:r>
          </w:p>
        </w:tc>
        <w:tc>
          <w:tcPr>
            <w:tcW w:w="2551" w:type="dxa"/>
          </w:tcPr>
          <w:p w14:paraId="65854674" w14:textId="77777777" w:rsidR="0013435B" w:rsidRPr="00807DAF" w:rsidRDefault="0013435B" w:rsidP="00F15864">
            <w:pPr>
              <w:jc w:val="center"/>
              <w:rPr>
                <w:szCs w:val="22"/>
              </w:rPr>
            </w:pPr>
            <w:r w:rsidRPr="00807DAF">
              <w:rPr>
                <w:szCs w:val="22"/>
              </w:rPr>
              <w:t>-</w:t>
            </w:r>
          </w:p>
        </w:tc>
      </w:tr>
      <w:tr w:rsidR="00622381" w:rsidRPr="00807DAF" w14:paraId="6FC3E9F8" w14:textId="77777777" w:rsidTr="00984331">
        <w:tc>
          <w:tcPr>
            <w:tcW w:w="4678" w:type="dxa"/>
            <w:shd w:val="pct10" w:color="auto" w:fill="FFFFFF"/>
          </w:tcPr>
          <w:p w14:paraId="49191323" w14:textId="77777777" w:rsidR="00622381" w:rsidRPr="00807DAF" w:rsidRDefault="00873C1D" w:rsidP="00C07DDB">
            <w:pPr>
              <w:jc w:val="left"/>
              <w:rPr>
                <w:b/>
                <w:szCs w:val="22"/>
              </w:rPr>
            </w:pPr>
            <w:r>
              <w:rPr>
                <w:b/>
                <w:szCs w:val="22"/>
              </w:rPr>
              <w:t xml:space="preserve">7. </w:t>
            </w:r>
            <w:r w:rsidR="00622381" w:rsidRPr="00807DAF">
              <w:rPr>
                <w:b/>
                <w:szCs w:val="22"/>
              </w:rPr>
              <w:t>Deadline for subm</w:t>
            </w:r>
            <w:r w:rsidR="003477D3">
              <w:rPr>
                <w:b/>
                <w:szCs w:val="22"/>
              </w:rPr>
              <w:t xml:space="preserve">ission of </w:t>
            </w:r>
            <w:r w:rsidR="00C07DDB">
              <w:rPr>
                <w:b/>
                <w:szCs w:val="22"/>
              </w:rPr>
              <w:t>f</w:t>
            </w:r>
            <w:r w:rsidR="003477D3">
              <w:rPr>
                <w:b/>
                <w:szCs w:val="22"/>
              </w:rPr>
              <w:t xml:space="preserve">ull </w:t>
            </w:r>
            <w:r w:rsidR="00C07DDB">
              <w:rPr>
                <w:b/>
                <w:szCs w:val="22"/>
              </w:rPr>
              <w:t>a</w:t>
            </w:r>
            <w:r w:rsidR="003477D3">
              <w:rPr>
                <w:b/>
                <w:szCs w:val="22"/>
              </w:rPr>
              <w:t>pplication</w:t>
            </w:r>
            <w:r w:rsidR="00C07DDB">
              <w:rPr>
                <w:b/>
                <w:szCs w:val="22"/>
              </w:rPr>
              <w:t>s</w:t>
            </w:r>
          </w:p>
        </w:tc>
        <w:tc>
          <w:tcPr>
            <w:tcW w:w="2552" w:type="dxa"/>
          </w:tcPr>
          <w:p w14:paraId="61FFF849" w14:textId="0DD57C42" w:rsidR="00622381" w:rsidRPr="004736ED" w:rsidRDefault="004736ED" w:rsidP="00F15864">
            <w:pPr>
              <w:jc w:val="center"/>
              <w:rPr>
                <w:szCs w:val="22"/>
              </w:rPr>
            </w:pPr>
            <w:r w:rsidRPr="004736ED">
              <w:rPr>
                <w:szCs w:val="22"/>
              </w:rPr>
              <w:t>April 2018</w:t>
            </w:r>
          </w:p>
        </w:tc>
        <w:tc>
          <w:tcPr>
            <w:tcW w:w="2551" w:type="dxa"/>
          </w:tcPr>
          <w:p w14:paraId="33E4E8CE" w14:textId="77777777" w:rsidR="00622381" w:rsidRPr="00807DAF" w:rsidRDefault="00622381" w:rsidP="00F15864">
            <w:pPr>
              <w:jc w:val="center"/>
              <w:rPr>
                <w:szCs w:val="22"/>
              </w:rPr>
            </w:pPr>
            <w:r w:rsidRPr="00807DAF">
              <w:rPr>
                <w:szCs w:val="22"/>
              </w:rPr>
              <w:t>-</w:t>
            </w:r>
          </w:p>
        </w:tc>
      </w:tr>
      <w:tr w:rsidR="00622381" w:rsidRPr="00807DAF" w14:paraId="75A5F805" w14:textId="77777777" w:rsidTr="00984331">
        <w:tc>
          <w:tcPr>
            <w:tcW w:w="4678" w:type="dxa"/>
            <w:shd w:val="pct10" w:color="auto" w:fill="FFFFFF"/>
          </w:tcPr>
          <w:p w14:paraId="49F3C5B4" w14:textId="77777777" w:rsidR="00622381" w:rsidRPr="00807DAF" w:rsidRDefault="00873C1D" w:rsidP="000F68CC">
            <w:pPr>
              <w:jc w:val="left"/>
              <w:rPr>
                <w:b/>
                <w:szCs w:val="22"/>
              </w:rPr>
            </w:pPr>
            <w:r>
              <w:rPr>
                <w:b/>
                <w:szCs w:val="22"/>
              </w:rPr>
              <w:t xml:space="preserve">8. </w:t>
            </w:r>
            <w:r w:rsidR="00622381" w:rsidRPr="00807DAF">
              <w:rPr>
                <w:b/>
                <w:szCs w:val="22"/>
              </w:rPr>
              <w:t xml:space="preserve">Information to </w:t>
            </w:r>
            <w:r w:rsidR="000F68CC">
              <w:rPr>
                <w:b/>
                <w:szCs w:val="22"/>
              </w:rPr>
              <w:t>lead a</w:t>
            </w:r>
            <w:r w:rsidR="00622381" w:rsidRPr="00807DAF">
              <w:rPr>
                <w:b/>
                <w:szCs w:val="22"/>
              </w:rPr>
              <w:t xml:space="preserve">pplicants on the evaluation of the </w:t>
            </w:r>
            <w:r w:rsidR="00C07DDB">
              <w:rPr>
                <w:b/>
                <w:szCs w:val="22"/>
              </w:rPr>
              <w:t>f</w:t>
            </w:r>
            <w:r w:rsidR="00537CD5" w:rsidRPr="00807DAF">
              <w:rPr>
                <w:b/>
                <w:szCs w:val="22"/>
              </w:rPr>
              <w:t xml:space="preserve">ull </w:t>
            </w:r>
            <w:r w:rsidR="00C07DDB">
              <w:rPr>
                <w:b/>
                <w:szCs w:val="22"/>
              </w:rPr>
              <w:t>a</w:t>
            </w:r>
            <w:r w:rsidR="00622381" w:rsidRPr="00807DAF">
              <w:rPr>
                <w:b/>
                <w:szCs w:val="22"/>
              </w:rPr>
              <w:t>pplication</w:t>
            </w:r>
            <w:r w:rsidR="00C07DDB">
              <w:rPr>
                <w:b/>
                <w:szCs w:val="22"/>
              </w:rPr>
              <w:t>s</w:t>
            </w:r>
            <w:r w:rsidR="00622381" w:rsidRPr="00807DAF">
              <w:rPr>
                <w:b/>
                <w:szCs w:val="22"/>
              </w:rPr>
              <w:t xml:space="preserve"> </w:t>
            </w:r>
            <w:r w:rsidR="00E708CB" w:rsidRPr="00807DAF">
              <w:rPr>
                <w:b/>
                <w:szCs w:val="22"/>
              </w:rPr>
              <w:t>(</w:t>
            </w:r>
            <w:r w:rsidR="009B7BB7" w:rsidRPr="00807DAF">
              <w:rPr>
                <w:b/>
                <w:szCs w:val="22"/>
              </w:rPr>
              <w:t>S</w:t>
            </w:r>
            <w:r w:rsidR="00E708CB" w:rsidRPr="00807DAF">
              <w:rPr>
                <w:b/>
                <w:szCs w:val="22"/>
              </w:rPr>
              <w:t xml:space="preserve">tep </w:t>
            </w:r>
            <w:r w:rsidR="003743F9" w:rsidRPr="00807DAF">
              <w:rPr>
                <w:b/>
                <w:szCs w:val="22"/>
              </w:rPr>
              <w:t>2</w:t>
            </w:r>
            <w:r w:rsidR="00E708CB" w:rsidRPr="00807DAF">
              <w:rPr>
                <w:b/>
                <w:szCs w:val="22"/>
              </w:rPr>
              <w:t>)</w:t>
            </w:r>
            <w:r w:rsidR="000E38CD" w:rsidRPr="00807DAF">
              <w:rPr>
                <w:rStyle w:val="FootnoteReference"/>
                <w:b/>
              </w:rPr>
              <w:footnoteReference w:id="47"/>
            </w:r>
          </w:p>
        </w:tc>
        <w:tc>
          <w:tcPr>
            <w:tcW w:w="2552" w:type="dxa"/>
          </w:tcPr>
          <w:p w14:paraId="27F478E9" w14:textId="029FFD7A" w:rsidR="00622381" w:rsidRPr="004736ED" w:rsidRDefault="004736ED" w:rsidP="00F15864">
            <w:pPr>
              <w:jc w:val="center"/>
              <w:rPr>
                <w:szCs w:val="22"/>
              </w:rPr>
            </w:pPr>
            <w:r w:rsidRPr="004736ED">
              <w:rPr>
                <w:szCs w:val="22"/>
              </w:rPr>
              <w:t>June 2018</w:t>
            </w:r>
          </w:p>
        </w:tc>
        <w:tc>
          <w:tcPr>
            <w:tcW w:w="2551" w:type="dxa"/>
          </w:tcPr>
          <w:p w14:paraId="68CF5969" w14:textId="77777777" w:rsidR="00622381" w:rsidRPr="00807DAF" w:rsidRDefault="00622381" w:rsidP="00F15864">
            <w:pPr>
              <w:jc w:val="center"/>
              <w:rPr>
                <w:szCs w:val="22"/>
              </w:rPr>
            </w:pPr>
            <w:r w:rsidRPr="00807DAF">
              <w:rPr>
                <w:szCs w:val="22"/>
              </w:rPr>
              <w:t>-</w:t>
            </w:r>
          </w:p>
        </w:tc>
      </w:tr>
      <w:tr w:rsidR="00415248" w:rsidRPr="00807DAF" w14:paraId="6D29CC81" w14:textId="77777777" w:rsidTr="00984331">
        <w:tc>
          <w:tcPr>
            <w:tcW w:w="4678" w:type="dxa"/>
            <w:shd w:val="pct10" w:color="auto" w:fill="FFFFFF"/>
          </w:tcPr>
          <w:p w14:paraId="7B28C0B6" w14:textId="77777777" w:rsidR="00415248" w:rsidRPr="00807DAF" w:rsidRDefault="00873C1D" w:rsidP="00984331">
            <w:pPr>
              <w:jc w:val="left"/>
              <w:rPr>
                <w:b/>
                <w:szCs w:val="22"/>
              </w:rPr>
            </w:pPr>
            <w:r>
              <w:rPr>
                <w:b/>
                <w:szCs w:val="22"/>
              </w:rPr>
              <w:t xml:space="preserve">9. </w:t>
            </w:r>
            <w:r w:rsidR="00415248" w:rsidRPr="00807DAF">
              <w:rPr>
                <w:b/>
                <w:szCs w:val="22"/>
              </w:rPr>
              <w:t>Notification of award (after the eligibility check)</w:t>
            </w:r>
            <w:r w:rsidR="00E708CB" w:rsidRPr="00807DAF">
              <w:rPr>
                <w:b/>
                <w:szCs w:val="22"/>
              </w:rPr>
              <w:t xml:space="preserve"> (</w:t>
            </w:r>
            <w:r w:rsidR="009B7BB7" w:rsidRPr="00807DAF">
              <w:rPr>
                <w:b/>
                <w:szCs w:val="22"/>
              </w:rPr>
              <w:t>S</w:t>
            </w:r>
            <w:r w:rsidR="00E708CB" w:rsidRPr="00807DAF">
              <w:rPr>
                <w:b/>
                <w:szCs w:val="22"/>
              </w:rPr>
              <w:t xml:space="preserve">tep </w:t>
            </w:r>
            <w:r w:rsidR="003743F9" w:rsidRPr="00807DAF">
              <w:rPr>
                <w:b/>
                <w:szCs w:val="22"/>
              </w:rPr>
              <w:t>3</w:t>
            </w:r>
            <w:r w:rsidR="00E708CB" w:rsidRPr="00807DAF">
              <w:rPr>
                <w:b/>
                <w:szCs w:val="22"/>
              </w:rPr>
              <w:t>)</w:t>
            </w:r>
          </w:p>
        </w:tc>
        <w:tc>
          <w:tcPr>
            <w:tcW w:w="2552" w:type="dxa"/>
          </w:tcPr>
          <w:p w14:paraId="657611B5" w14:textId="0123401F" w:rsidR="00415248" w:rsidRPr="004736ED" w:rsidRDefault="004736ED" w:rsidP="00F15864">
            <w:pPr>
              <w:jc w:val="center"/>
              <w:rPr>
                <w:szCs w:val="22"/>
              </w:rPr>
            </w:pPr>
            <w:r w:rsidRPr="004736ED">
              <w:rPr>
                <w:szCs w:val="22"/>
              </w:rPr>
              <w:t>September 2018</w:t>
            </w:r>
          </w:p>
        </w:tc>
        <w:tc>
          <w:tcPr>
            <w:tcW w:w="2551" w:type="dxa"/>
          </w:tcPr>
          <w:p w14:paraId="7D9235E0" w14:textId="77777777" w:rsidR="00415248" w:rsidRPr="00807DAF" w:rsidRDefault="00415248" w:rsidP="00F15864">
            <w:pPr>
              <w:jc w:val="center"/>
              <w:rPr>
                <w:szCs w:val="22"/>
              </w:rPr>
            </w:pPr>
            <w:r w:rsidRPr="00807DAF">
              <w:rPr>
                <w:szCs w:val="22"/>
              </w:rPr>
              <w:t>-</w:t>
            </w:r>
          </w:p>
        </w:tc>
      </w:tr>
      <w:tr w:rsidR="00415248" w:rsidRPr="00807DAF" w14:paraId="6517EA66" w14:textId="77777777" w:rsidTr="00984331">
        <w:tc>
          <w:tcPr>
            <w:tcW w:w="4678" w:type="dxa"/>
            <w:shd w:val="pct10" w:color="auto" w:fill="FFFFFF"/>
          </w:tcPr>
          <w:p w14:paraId="779773E9" w14:textId="77777777" w:rsidR="00415248" w:rsidRPr="00807DAF" w:rsidRDefault="00873C1D" w:rsidP="00984331">
            <w:pPr>
              <w:jc w:val="left"/>
              <w:rPr>
                <w:b/>
                <w:szCs w:val="22"/>
              </w:rPr>
            </w:pPr>
            <w:r>
              <w:rPr>
                <w:b/>
                <w:szCs w:val="22"/>
              </w:rPr>
              <w:t xml:space="preserve">10. </w:t>
            </w:r>
            <w:r w:rsidR="00415248" w:rsidRPr="00807DAF">
              <w:rPr>
                <w:b/>
                <w:szCs w:val="22"/>
              </w:rPr>
              <w:t>Contract signature</w:t>
            </w:r>
            <w:r w:rsidR="000E38CD" w:rsidRPr="00807DAF">
              <w:rPr>
                <w:rStyle w:val="FootnoteReference"/>
                <w:b/>
              </w:rPr>
              <w:footnoteReference w:id="48"/>
            </w:r>
          </w:p>
        </w:tc>
        <w:tc>
          <w:tcPr>
            <w:tcW w:w="2552" w:type="dxa"/>
          </w:tcPr>
          <w:p w14:paraId="0846A603" w14:textId="2E0BE0FE" w:rsidR="00415248" w:rsidRPr="002E5B8F" w:rsidRDefault="004736ED" w:rsidP="00F15864">
            <w:pPr>
              <w:jc w:val="center"/>
              <w:rPr>
                <w:szCs w:val="22"/>
              </w:rPr>
            </w:pPr>
            <w:r>
              <w:rPr>
                <w:szCs w:val="22"/>
              </w:rPr>
              <w:t>October 2018</w:t>
            </w:r>
          </w:p>
        </w:tc>
        <w:tc>
          <w:tcPr>
            <w:tcW w:w="2551" w:type="dxa"/>
          </w:tcPr>
          <w:p w14:paraId="195B7804" w14:textId="77777777" w:rsidR="00415248" w:rsidRPr="00807DAF" w:rsidRDefault="00415248" w:rsidP="00F15864">
            <w:pPr>
              <w:jc w:val="center"/>
              <w:rPr>
                <w:szCs w:val="22"/>
              </w:rPr>
            </w:pPr>
            <w:r w:rsidRPr="00807DAF">
              <w:rPr>
                <w:szCs w:val="22"/>
              </w:rPr>
              <w:t>-</w:t>
            </w:r>
          </w:p>
        </w:tc>
      </w:tr>
    </w:tbl>
    <w:p w14:paraId="618826B1" w14:textId="77777777" w:rsidR="00A52D5C" w:rsidRDefault="00A52D5C" w:rsidP="00984331">
      <w:r w:rsidRPr="00A52D5C">
        <w:rPr>
          <w:b/>
        </w:rPr>
        <w:t>All dates and times are expressed in Brussels time</w:t>
      </w:r>
      <w:r>
        <w:t>, where it is not specified otherwise.</w:t>
      </w:r>
    </w:p>
    <w:p w14:paraId="3F4133C3" w14:textId="04C47B45" w:rsidR="0013435B" w:rsidRDefault="00D23749" w:rsidP="00984331">
      <w:r w:rsidRPr="00807DAF">
        <w:t xml:space="preserve">This indicative timetable </w:t>
      </w:r>
      <w:r w:rsidR="00A52D5C">
        <w:t xml:space="preserve">refers to provisional dates </w:t>
      </w:r>
      <w:r w:rsidR="00873C1D">
        <w:t xml:space="preserve">(except for dates 2, 3 and 4) </w:t>
      </w:r>
      <w:r w:rsidR="00A52D5C">
        <w:t xml:space="preserve">and </w:t>
      </w:r>
      <w:r w:rsidRPr="00807DAF">
        <w:t xml:space="preserve">may be </w:t>
      </w:r>
      <w:r w:rsidR="00E120C3" w:rsidRPr="00807DAF">
        <w:t>updated</w:t>
      </w:r>
      <w:r w:rsidRPr="00807DAF">
        <w:t xml:space="preserve"> by the Contracting Authority </w:t>
      </w:r>
      <w:r w:rsidR="00E120C3" w:rsidRPr="00807DAF">
        <w:t>during the procedure. In such case</w:t>
      </w:r>
      <w:r w:rsidR="009B7BB7" w:rsidRPr="00807DAF">
        <w:t>s</w:t>
      </w:r>
      <w:r w:rsidR="00E120C3" w:rsidRPr="00807DAF">
        <w:t>, t</w:t>
      </w:r>
      <w:r w:rsidRPr="00807DAF">
        <w:t xml:space="preserve">he updated timetable </w:t>
      </w:r>
      <w:r w:rsidR="009B7BB7" w:rsidRPr="00807DAF">
        <w:t xml:space="preserve">will </w:t>
      </w:r>
      <w:r w:rsidRPr="00807DAF">
        <w:t xml:space="preserve">be published </w:t>
      </w:r>
      <w:r w:rsidR="0046081F" w:rsidRPr="00807DAF">
        <w:t xml:space="preserve">on </w:t>
      </w:r>
      <w:r w:rsidRPr="00807DAF">
        <w:t xml:space="preserve">the </w:t>
      </w:r>
      <w:proofErr w:type="spellStart"/>
      <w:r w:rsidRPr="00807DAF">
        <w:t>EuropeAid</w:t>
      </w:r>
      <w:proofErr w:type="spellEnd"/>
      <w:r w:rsidRPr="00807DAF">
        <w:t xml:space="preserve"> web site </w:t>
      </w:r>
      <w:hyperlink r:id="rId29" w:history="1">
        <w:r w:rsidR="00D0109C" w:rsidRPr="00807DAF">
          <w:rPr>
            <w:rStyle w:val="Hyperlink"/>
            <w:szCs w:val="22"/>
          </w:rPr>
          <w:t>https://webgate.ec.europa.eu/europeaid/online-services/index.cfm?do=publi.welcome</w:t>
        </w:r>
      </w:hyperlink>
      <w:r w:rsidRPr="00807DAF">
        <w:t>.</w:t>
      </w:r>
    </w:p>
    <w:p w14:paraId="0FF2317C" w14:textId="77777777" w:rsidR="00C120B8" w:rsidRDefault="00C120B8" w:rsidP="00984331"/>
    <w:p w14:paraId="59611B4A" w14:textId="77777777" w:rsidR="00C120B8" w:rsidRPr="00807DAF" w:rsidRDefault="00C120B8" w:rsidP="00984331"/>
    <w:p w14:paraId="436B830D" w14:textId="77777777" w:rsidR="0007408E" w:rsidRPr="00807DAF" w:rsidRDefault="0007408E" w:rsidP="000C1BF8">
      <w:pPr>
        <w:pStyle w:val="Guidelines2"/>
      </w:pPr>
      <w:bookmarkStart w:id="43" w:name="_Toc40507655"/>
      <w:bookmarkStart w:id="44" w:name="_Toc487024657"/>
      <w:r w:rsidRPr="00807DAF">
        <w:lastRenderedPageBreak/>
        <w:t xml:space="preserve">Conditions </w:t>
      </w:r>
      <w:r w:rsidR="009B7BB7" w:rsidRPr="00807DAF">
        <w:t>for</w:t>
      </w:r>
      <w:r w:rsidRPr="00807DAF">
        <w:t xml:space="preserve"> implementation </w:t>
      </w:r>
      <w:r w:rsidR="009B7BB7" w:rsidRPr="00807DAF">
        <w:t>after</w:t>
      </w:r>
      <w:r w:rsidRPr="00807DAF">
        <w:t xml:space="preserve"> the </w:t>
      </w:r>
      <w:r w:rsidR="00265A33" w:rsidRPr="00807DAF">
        <w:t>C</w:t>
      </w:r>
      <w:r w:rsidRPr="00807DAF">
        <w:t xml:space="preserve">ontracting </w:t>
      </w:r>
      <w:r w:rsidR="00265A33" w:rsidRPr="00807DAF">
        <w:t>A</w:t>
      </w:r>
      <w:r w:rsidRPr="00807DAF">
        <w:t>uthority</w:t>
      </w:r>
      <w:r w:rsidR="00A016F9" w:rsidRPr="00807DAF">
        <w:t>’</w:t>
      </w:r>
      <w:r w:rsidRPr="00807DAF">
        <w:t>s decision to award a grant</w:t>
      </w:r>
      <w:bookmarkEnd w:id="43"/>
      <w:bookmarkEnd w:id="44"/>
    </w:p>
    <w:p w14:paraId="0E8F60F1" w14:textId="77777777" w:rsidR="00E007B5" w:rsidRPr="00807DAF" w:rsidRDefault="00511FEE" w:rsidP="00E007B5">
      <w:r w:rsidRPr="00807DAF">
        <w:t xml:space="preserve">Following the decision to award a grant, the </w:t>
      </w:r>
      <w:proofErr w:type="gramStart"/>
      <w:r w:rsidR="00C07DDB">
        <w:t>b</w:t>
      </w:r>
      <w:r w:rsidRPr="00807DAF">
        <w:t>eneficiary</w:t>
      </w:r>
      <w:r w:rsidR="00FA2479" w:rsidRPr="00807DAF">
        <w:t>(</w:t>
      </w:r>
      <w:proofErr w:type="spellStart"/>
      <w:proofErr w:type="gramEnd"/>
      <w:r w:rsidR="00FA2479" w:rsidRPr="00807DAF">
        <w:t>ies</w:t>
      </w:r>
      <w:proofErr w:type="spellEnd"/>
      <w:r w:rsidR="00FA2479" w:rsidRPr="00807DAF">
        <w:t>)</w:t>
      </w:r>
      <w:r w:rsidRPr="00807DAF">
        <w:t xml:space="preserve"> will be offered a contract based on the</w:t>
      </w:r>
      <w:r w:rsidR="00E007B5">
        <w:t xml:space="preserve"> standard grant contract </w:t>
      </w:r>
      <w:r w:rsidRPr="00807DAF">
        <w:t xml:space="preserve">  (</w:t>
      </w:r>
      <w:r w:rsidR="00AA4FE0" w:rsidRPr="00807DAF">
        <w:t xml:space="preserve">see </w:t>
      </w:r>
      <w:r w:rsidRPr="00807DAF">
        <w:t xml:space="preserve">Annex </w:t>
      </w:r>
      <w:r w:rsidR="007D4E58" w:rsidRPr="00807DAF">
        <w:t>G</w:t>
      </w:r>
      <w:r w:rsidR="004A51E9" w:rsidRPr="00807DAF">
        <w:t xml:space="preserve"> of these </w:t>
      </w:r>
      <w:r w:rsidR="00E007B5">
        <w:t>g</w:t>
      </w:r>
      <w:r w:rsidR="004A51E9" w:rsidRPr="00807DAF">
        <w:t>uidelines</w:t>
      </w:r>
      <w:r w:rsidRPr="00807DAF">
        <w:t xml:space="preserve">). </w:t>
      </w:r>
      <w:r w:rsidR="00D078E2" w:rsidRPr="00807DAF">
        <w:t xml:space="preserve">By signing the </w:t>
      </w:r>
      <w:r w:rsidR="009B7BB7" w:rsidRPr="00807DAF">
        <w:t>a</w:t>
      </w:r>
      <w:r w:rsidR="00D078E2" w:rsidRPr="00807DAF">
        <w:t>pplication form (Annex A</w:t>
      </w:r>
      <w:r w:rsidR="004A51E9" w:rsidRPr="00807DAF">
        <w:t xml:space="preserve"> of these </w:t>
      </w:r>
      <w:r w:rsidR="000F68CC">
        <w:t>g</w:t>
      </w:r>
      <w:r w:rsidR="004A51E9" w:rsidRPr="00807DAF">
        <w:t>uidelines</w:t>
      </w:r>
      <w:r w:rsidR="00D078E2" w:rsidRPr="00807DAF">
        <w:t>), the applicant</w:t>
      </w:r>
      <w:r w:rsidR="00FA2479" w:rsidRPr="00807DAF">
        <w:t>s</w:t>
      </w:r>
      <w:r w:rsidR="00D078E2" w:rsidRPr="00807DAF">
        <w:t xml:space="preserve"> </w:t>
      </w:r>
      <w:r w:rsidR="009B7BB7" w:rsidRPr="00807DAF">
        <w:t>agree</w:t>
      </w:r>
      <w:r w:rsidR="00D078E2" w:rsidRPr="00807DAF">
        <w:t xml:space="preserve">, </w:t>
      </w:r>
      <w:r w:rsidR="009B7BB7" w:rsidRPr="00807DAF">
        <w:t>if</w:t>
      </w:r>
      <w:r w:rsidR="00D078E2" w:rsidRPr="00807DAF">
        <w:t xml:space="preserve"> awarded a grant,</w:t>
      </w:r>
      <w:r w:rsidR="009B7BB7" w:rsidRPr="00807DAF">
        <w:t xml:space="preserve"> to accept</w:t>
      </w:r>
      <w:r w:rsidR="00D078E2" w:rsidRPr="00807DAF">
        <w:t xml:space="preserve"> the </w:t>
      </w:r>
      <w:r w:rsidR="009B7BB7" w:rsidRPr="00807DAF">
        <w:t>c</w:t>
      </w:r>
      <w:r w:rsidR="00D078E2" w:rsidRPr="00807DAF">
        <w:t xml:space="preserve">ontractual conditions </w:t>
      </w:r>
      <w:r w:rsidR="009B7BB7" w:rsidRPr="00807DAF">
        <w:t>of</w:t>
      </w:r>
      <w:r w:rsidR="00D078E2" w:rsidRPr="00807DAF">
        <w:t xml:space="preserve"> the </w:t>
      </w:r>
      <w:r w:rsidR="00450369" w:rsidRPr="00807DAF">
        <w:t>standard grant contract</w:t>
      </w:r>
      <w:r w:rsidR="00D23C8D" w:rsidRPr="00807DAF">
        <w:t>.</w:t>
      </w:r>
      <w:r w:rsidR="002F3F27" w:rsidRPr="00807DAF">
        <w:t xml:space="preserve"> </w:t>
      </w:r>
      <w:r w:rsidR="0091273E">
        <w:t xml:space="preserve">Where the Coordinator is an organisation whose pillars have been positively assessed, it will sign a PA Grant Agreement based on the </w:t>
      </w:r>
      <w:proofErr w:type="spellStart"/>
      <w:r w:rsidR="0091273E">
        <w:t>PAG</w:t>
      </w:r>
      <w:r w:rsidR="00C07DDB">
        <w:t>o</w:t>
      </w:r>
      <w:r w:rsidR="0091273E">
        <w:t>DA</w:t>
      </w:r>
      <w:proofErr w:type="spellEnd"/>
      <w:r w:rsidR="0091273E">
        <w:t xml:space="preserve"> template. In this case references to provisions of the standard grant contract and its annexes shall not apply. References in these </w:t>
      </w:r>
      <w:r w:rsidR="000F68CC">
        <w:t>g</w:t>
      </w:r>
      <w:r w:rsidR="0091273E">
        <w:t xml:space="preserve">uidelines to the </w:t>
      </w:r>
      <w:r w:rsidR="000F68CC">
        <w:t>g</w:t>
      </w:r>
      <w:r w:rsidR="0091273E">
        <w:t xml:space="preserve">rant </w:t>
      </w:r>
      <w:r w:rsidR="000F68CC">
        <w:t>c</w:t>
      </w:r>
      <w:r w:rsidR="0091273E">
        <w:t>ontract shall be understood as references to the relevant provisions of the PA Grant Agreement.</w:t>
      </w:r>
      <w:r w:rsidR="00E007B5">
        <w:t xml:space="preserve"> </w:t>
      </w:r>
    </w:p>
    <w:p w14:paraId="2D86C183" w14:textId="77777777" w:rsidR="0007408E" w:rsidRPr="00807DAF" w:rsidRDefault="0007408E" w:rsidP="00984331">
      <w:pPr>
        <w:spacing w:before="240"/>
        <w:rPr>
          <w:u w:val="single"/>
        </w:rPr>
      </w:pPr>
      <w:r w:rsidRPr="00807DAF">
        <w:rPr>
          <w:u w:val="single"/>
        </w:rPr>
        <w:t>Implementation contracts</w:t>
      </w:r>
    </w:p>
    <w:p w14:paraId="25BA8EC4" w14:textId="77777777" w:rsidR="0007408E" w:rsidRPr="00807DAF" w:rsidRDefault="0007408E" w:rsidP="00984331">
      <w:r w:rsidRPr="00807DAF">
        <w:t xml:space="preserve">Where implementation of the action requires the </w:t>
      </w:r>
      <w:proofErr w:type="gramStart"/>
      <w:r w:rsidR="00E81C51">
        <w:t>b</w:t>
      </w:r>
      <w:r w:rsidRPr="00807DAF">
        <w:t>eneficiar</w:t>
      </w:r>
      <w:r w:rsidR="00544E5D" w:rsidRPr="00807DAF">
        <w:t>y(</w:t>
      </w:r>
      <w:proofErr w:type="spellStart"/>
      <w:proofErr w:type="gramEnd"/>
      <w:r w:rsidR="00544E5D" w:rsidRPr="00807DAF">
        <w:t>ies</w:t>
      </w:r>
      <w:proofErr w:type="spellEnd"/>
      <w:r w:rsidR="00544E5D" w:rsidRPr="00807DAF">
        <w:t>)</w:t>
      </w:r>
      <w:r w:rsidRPr="00807DAF">
        <w:t xml:space="preserve"> </w:t>
      </w:r>
      <w:r w:rsidR="00544E5D" w:rsidRPr="00807DAF">
        <w:t>and its affiliated entity(</w:t>
      </w:r>
      <w:proofErr w:type="spellStart"/>
      <w:r w:rsidR="00544E5D" w:rsidRPr="00807DAF">
        <w:t>ies</w:t>
      </w:r>
      <w:proofErr w:type="spellEnd"/>
      <w:r w:rsidR="00544E5D" w:rsidRPr="00807DAF">
        <w:t>) (if any)</w:t>
      </w:r>
      <w:r w:rsidR="008A7A99" w:rsidRPr="00807DAF">
        <w:t xml:space="preserve"> </w:t>
      </w:r>
      <w:r w:rsidRPr="00807DAF">
        <w:t xml:space="preserve">to award procurement contracts, </w:t>
      </w:r>
      <w:r w:rsidR="00DC1934" w:rsidRPr="00807DAF">
        <w:t>those contracts must be awarded in accordance with</w:t>
      </w:r>
      <w:r w:rsidRPr="00807DAF">
        <w:t xml:space="preserve"> Annex IV to the </w:t>
      </w:r>
      <w:r w:rsidR="0046081F" w:rsidRPr="00807DAF">
        <w:t xml:space="preserve">standard grant </w:t>
      </w:r>
      <w:r w:rsidR="00D23749" w:rsidRPr="00807DAF">
        <w:t>contract</w:t>
      </w:r>
      <w:r w:rsidRPr="00807DAF">
        <w:t>.</w:t>
      </w:r>
    </w:p>
    <w:p w14:paraId="0103B652" w14:textId="77777777" w:rsidR="00F15864" w:rsidRPr="00807DAF" w:rsidRDefault="00F15864" w:rsidP="000C1BF8">
      <w:pPr>
        <w:pStyle w:val="Guidelines2"/>
      </w:pPr>
      <w:bookmarkStart w:id="45" w:name="_Toc487024658"/>
      <w:r w:rsidRPr="00807DAF">
        <w:t>E</w:t>
      </w:r>
      <w:r w:rsidR="00DB6F5A" w:rsidRPr="00807DAF">
        <w:t xml:space="preserve">arly </w:t>
      </w:r>
      <w:r w:rsidR="003249AD">
        <w:t>detection and exclusion system (</w:t>
      </w:r>
      <w:proofErr w:type="spellStart"/>
      <w:r w:rsidR="003249AD">
        <w:t>edes</w:t>
      </w:r>
      <w:proofErr w:type="spellEnd"/>
      <w:r w:rsidR="003249AD">
        <w:t>)</w:t>
      </w:r>
      <w:bookmarkEnd w:id="45"/>
    </w:p>
    <w:p w14:paraId="06761559" w14:textId="77777777" w:rsidR="00097401" w:rsidRPr="00807DAF" w:rsidRDefault="00F15864" w:rsidP="00984331">
      <w:r w:rsidRPr="00807DAF">
        <w:t>The applicants and, if they are legal entities,</w:t>
      </w:r>
      <w:r w:rsidR="00A70DA3" w:rsidRPr="00807DAF">
        <w:t xml:space="preserve"> the</w:t>
      </w:r>
      <w:r w:rsidRPr="00807DAF">
        <w:t xml:space="preserve"> persons who have powers of representation, decision-making or control over them, are informed that, should they be in one </w:t>
      </w:r>
      <w:r w:rsidR="00984331" w:rsidRPr="00807DAF">
        <w:t>of the situations mentioned in</w:t>
      </w:r>
      <w:r w:rsidR="003249AD">
        <w:t xml:space="preserve"> section 2.3.3.1 or 2.3.3.2 of the Practical Guide </w:t>
      </w:r>
      <w:r w:rsidR="00097401" w:rsidRPr="00807DAF">
        <w:t xml:space="preserve">their personal details (name, given name </w:t>
      </w:r>
      <w:r w:rsidR="00A70DA3" w:rsidRPr="00807DAF">
        <w:t>(</w:t>
      </w:r>
      <w:r w:rsidR="00097401" w:rsidRPr="00807DAF">
        <w:t>if natural person</w:t>
      </w:r>
      <w:r w:rsidR="00A70DA3" w:rsidRPr="00807DAF">
        <w:t>)</w:t>
      </w:r>
      <w:r w:rsidR="00097401" w:rsidRPr="00807DAF">
        <w:t>, address, legal form and name and given name of the persons with powers of representation, decision-making or control</w:t>
      </w:r>
      <w:r w:rsidR="00A70DA3" w:rsidRPr="00807DAF">
        <w:t xml:space="preserve"> (</w:t>
      </w:r>
      <w:r w:rsidR="00097401" w:rsidRPr="00807DAF">
        <w:t>if legal person</w:t>
      </w:r>
      <w:r w:rsidR="00A70DA3" w:rsidRPr="00807DAF">
        <w:t>)</w:t>
      </w:r>
      <w:r w:rsidR="00097401" w:rsidRPr="00807DAF">
        <w:t xml:space="preserve">) may be registered in the </w:t>
      </w:r>
      <w:r w:rsidR="003249AD">
        <w:t>EDES. For further information see section 2.3.3 and 2.3.4 of the Practical Guide.</w:t>
      </w:r>
    </w:p>
    <w:p w14:paraId="7B1DBB97" w14:textId="77777777" w:rsidR="0007408E" w:rsidRPr="00807DAF" w:rsidRDefault="00267E4F" w:rsidP="000C1BF8">
      <w:pPr>
        <w:pStyle w:val="Guidelines1"/>
      </w:pPr>
      <w:bookmarkStart w:id="46" w:name="_Toc40507656"/>
      <w:r w:rsidRPr="00807DAF">
        <w:br w:type="page"/>
      </w:r>
      <w:bookmarkStart w:id="47" w:name="_Toc487024659"/>
      <w:r w:rsidR="0007408E" w:rsidRPr="00807DAF">
        <w:lastRenderedPageBreak/>
        <w:t>LIST OF annexes</w:t>
      </w:r>
      <w:bookmarkEnd w:id="46"/>
      <w:bookmarkEnd w:id="47"/>
    </w:p>
    <w:p w14:paraId="62016018" w14:textId="77777777" w:rsidR="00112E4F" w:rsidRPr="00156ED0" w:rsidRDefault="00112E4F" w:rsidP="00600738">
      <w:pPr>
        <w:rPr>
          <w:rFonts w:ascii="Times New Roman Bold" w:hAnsi="Times New Roman Bold"/>
          <w:b/>
          <w:caps/>
        </w:rPr>
      </w:pPr>
      <w:bookmarkStart w:id="48" w:name="_Toc40507657"/>
      <w:r w:rsidRPr="00156ED0">
        <w:rPr>
          <w:rFonts w:ascii="Times New Roman Bold" w:hAnsi="Times New Roman Bold"/>
          <w:b/>
          <w:caps/>
        </w:rPr>
        <w:t>D</w:t>
      </w:r>
      <w:r w:rsidR="00600738" w:rsidRPr="00156ED0">
        <w:rPr>
          <w:rFonts w:ascii="Times New Roman Bold" w:hAnsi="Times New Roman Bold"/>
          <w:b/>
          <w:caps/>
        </w:rPr>
        <w:t>ocuments to</w:t>
      </w:r>
      <w:r w:rsidRPr="00156ED0">
        <w:rPr>
          <w:rFonts w:ascii="Times New Roman Bold" w:hAnsi="Times New Roman Bold"/>
          <w:b/>
          <w:caps/>
        </w:rPr>
        <w:t xml:space="preserve"> </w:t>
      </w:r>
      <w:r w:rsidR="00E708CB" w:rsidRPr="00156ED0">
        <w:rPr>
          <w:rFonts w:ascii="Times New Roman Bold" w:hAnsi="Times New Roman Bold"/>
          <w:b/>
          <w:caps/>
        </w:rPr>
        <w:t>be completed</w:t>
      </w:r>
    </w:p>
    <w:p w14:paraId="69D06536" w14:textId="77777777" w:rsidR="0007408E" w:rsidRDefault="0007408E" w:rsidP="002D4ACD">
      <w:pPr>
        <w:ind w:left="1134" w:hanging="1134"/>
      </w:pPr>
      <w:r w:rsidRPr="00807DAF">
        <w:t>Annex A:</w:t>
      </w:r>
      <w:r w:rsidR="00600738" w:rsidRPr="00807DAF">
        <w:tab/>
      </w:r>
      <w:r w:rsidRPr="00807DAF">
        <w:t>Grant Application Form (Word format)</w:t>
      </w:r>
      <w:bookmarkEnd w:id="48"/>
    </w:p>
    <w:p w14:paraId="7AC7C96A" w14:textId="77777777" w:rsidR="00681FAB" w:rsidRDefault="00681FAB" w:rsidP="002D4ACD">
      <w:pPr>
        <w:ind w:left="1134" w:hanging="1134"/>
      </w:pPr>
      <w:r>
        <w:tab/>
        <w:t>A.1. Concept Note</w:t>
      </w:r>
    </w:p>
    <w:p w14:paraId="5D86F0ED" w14:textId="77777777" w:rsidR="00681FAB" w:rsidRPr="00807DAF" w:rsidRDefault="00681FAB" w:rsidP="002D4ACD">
      <w:pPr>
        <w:ind w:left="1134" w:hanging="1134"/>
      </w:pPr>
      <w:r>
        <w:tab/>
        <w:t>A.2. Full Application Form</w:t>
      </w:r>
    </w:p>
    <w:p w14:paraId="1CD592E2" w14:textId="77777777" w:rsidR="008D553A" w:rsidRPr="00807DAF" w:rsidRDefault="00600738" w:rsidP="002D4ACD">
      <w:pPr>
        <w:ind w:left="1134" w:hanging="1134"/>
      </w:pPr>
      <w:bookmarkStart w:id="49" w:name="_Toc40507658"/>
      <w:r w:rsidRPr="00807DAF">
        <w:t>Annex B:</w:t>
      </w:r>
      <w:r w:rsidRPr="00807DAF">
        <w:tab/>
      </w:r>
      <w:r w:rsidR="0007408E" w:rsidRPr="00807DAF">
        <w:t>Budget (Excel format)</w:t>
      </w:r>
      <w:bookmarkEnd w:id="49"/>
    </w:p>
    <w:p w14:paraId="4870B953" w14:textId="77777777" w:rsidR="0007408E" w:rsidRPr="00033F4E" w:rsidRDefault="0007408E" w:rsidP="002D4ACD">
      <w:pPr>
        <w:ind w:left="1134" w:hanging="1134"/>
      </w:pPr>
      <w:bookmarkStart w:id="50" w:name="_Toc40507659"/>
      <w:r w:rsidRPr="000F68CC">
        <w:t>Annex C:</w:t>
      </w:r>
      <w:r w:rsidR="00600738" w:rsidRPr="00CC28AF">
        <w:tab/>
      </w:r>
      <w:r w:rsidRPr="000F68CC">
        <w:t>Logical Framework (</w:t>
      </w:r>
      <w:r w:rsidR="009B7496">
        <w:t>Word</w:t>
      </w:r>
      <w:r w:rsidRPr="000F68CC">
        <w:t xml:space="preserve"> format)</w:t>
      </w:r>
      <w:bookmarkEnd w:id="50"/>
    </w:p>
    <w:p w14:paraId="27827B19" w14:textId="77777777" w:rsidR="00E81C51" w:rsidRDefault="0007408E" w:rsidP="002D4ACD">
      <w:pPr>
        <w:ind w:left="1134" w:hanging="1134"/>
      </w:pPr>
      <w:bookmarkStart w:id="51" w:name="_Toc40507660"/>
      <w:r w:rsidRPr="000F68CC">
        <w:t>Annex D:</w:t>
      </w:r>
      <w:bookmarkEnd w:id="51"/>
      <w:r w:rsidR="00600738" w:rsidRPr="00CC28AF">
        <w:tab/>
      </w:r>
      <w:r w:rsidR="00DB227A" w:rsidRPr="000F68CC">
        <w:t xml:space="preserve">Legal Entity </w:t>
      </w:r>
      <w:r w:rsidR="00FA2043" w:rsidRPr="000F68CC">
        <w:t>Sheet</w:t>
      </w:r>
      <w:r w:rsidR="00E81C51" w:rsidRPr="00CC28AF" w:rsidDel="00E81C51">
        <w:rPr>
          <w:rStyle w:val="FootnoteReference"/>
        </w:rPr>
        <w:t xml:space="preserve"> </w:t>
      </w:r>
    </w:p>
    <w:p w14:paraId="53B92EAB" w14:textId="77777777" w:rsidR="00872E67" w:rsidRPr="00033F4E" w:rsidRDefault="00872E67" w:rsidP="002D4ACD">
      <w:pPr>
        <w:ind w:left="1134" w:hanging="1134"/>
      </w:pPr>
      <w:bookmarkStart w:id="52" w:name="_Toc40507661"/>
      <w:r w:rsidRPr="000F68CC">
        <w:t>Annex E:</w:t>
      </w:r>
      <w:r w:rsidR="00600738" w:rsidRPr="00CC28AF">
        <w:tab/>
      </w:r>
      <w:r w:rsidRPr="000F68CC">
        <w:t>Financial identification form</w:t>
      </w:r>
    </w:p>
    <w:p w14:paraId="024045FE" w14:textId="319D77EC" w:rsidR="002573AC" w:rsidRPr="000F68CC" w:rsidRDefault="00600738" w:rsidP="000F68CC">
      <w:r w:rsidRPr="000F68CC">
        <w:t>Annex F:</w:t>
      </w:r>
      <w:r w:rsidR="001A493A">
        <w:t xml:space="preserve">     </w:t>
      </w:r>
      <w:r w:rsidR="0074095C" w:rsidRPr="000F68CC">
        <w:t xml:space="preserve">PADOR </w:t>
      </w:r>
      <w:r w:rsidRPr="000F68CC">
        <w:t>off Line Form</w:t>
      </w:r>
      <w:r w:rsidR="00681FAB">
        <w:t xml:space="preserve"> </w:t>
      </w:r>
      <w:r w:rsidR="00681FAB">
        <w:rPr>
          <w:b/>
          <w:bCs/>
          <w:i/>
          <w:iCs/>
          <w:szCs w:val="22"/>
          <w:lang w:eastAsia="en-GB"/>
        </w:rPr>
        <w:t>(ONLY IF IMPOSSIBLE TO REGISTER IN PADOR)</w:t>
      </w:r>
    </w:p>
    <w:p w14:paraId="76C9DC04" w14:textId="77777777" w:rsidR="00112E4F" w:rsidRPr="00156ED0" w:rsidRDefault="00112E4F" w:rsidP="00600738">
      <w:pPr>
        <w:spacing w:before="240"/>
        <w:rPr>
          <w:rFonts w:ascii="Times New Roman Bold" w:hAnsi="Times New Roman Bold"/>
          <w:b/>
          <w:caps/>
          <w:lang w:val="fr-FR"/>
        </w:rPr>
      </w:pPr>
      <w:r w:rsidRPr="00156ED0">
        <w:rPr>
          <w:rFonts w:ascii="Times New Roman Bold" w:hAnsi="Times New Roman Bold"/>
          <w:b/>
          <w:caps/>
          <w:lang w:val="fr-FR"/>
        </w:rPr>
        <w:t>DOCUMENTS FOR INFORMATION</w:t>
      </w:r>
      <w:r w:rsidR="00E007B5">
        <w:rPr>
          <w:rStyle w:val="FootnoteReference"/>
          <w:rFonts w:ascii="Times New Roman Bold" w:hAnsi="Times New Roman Bold"/>
          <w:b/>
          <w:caps/>
          <w:lang w:val="fr-FR"/>
        </w:rPr>
        <w:footnoteReference w:id="49"/>
      </w:r>
    </w:p>
    <w:p w14:paraId="390A6EE1" w14:textId="77777777" w:rsidR="00946471" w:rsidRDefault="0007408E" w:rsidP="00600738">
      <w:pPr>
        <w:ind w:left="1134" w:hanging="1134"/>
        <w:rPr>
          <w:lang w:val="fr-BE"/>
        </w:rPr>
      </w:pPr>
      <w:proofErr w:type="spellStart"/>
      <w:r w:rsidRPr="00807DAF">
        <w:rPr>
          <w:lang w:val="fr-BE"/>
        </w:rPr>
        <w:t>Annex</w:t>
      </w:r>
      <w:proofErr w:type="spellEnd"/>
      <w:r w:rsidRPr="00807DAF">
        <w:rPr>
          <w:lang w:val="fr-BE"/>
        </w:rPr>
        <w:t xml:space="preserve"> </w:t>
      </w:r>
      <w:r w:rsidR="00563FB0">
        <w:rPr>
          <w:lang w:val="fr-BE"/>
        </w:rPr>
        <w:t>G</w:t>
      </w:r>
      <w:r w:rsidR="00600738" w:rsidRPr="00807DAF">
        <w:rPr>
          <w:lang w:val="fr-BE"/>
        </w:rPr>
        <w:t>:</w:t>
      </w:r>
      <w:r w:rsidR="00600738" w:rsidRPr="00563FB0">
        <w:rPr>
          <w:lang w:val="fr-BE"/>
        </w:rPr>
        <w:tab/>
      </w:r>
      <w:r w:rsidRPr="00563FB0">
        <w:rPr>
          <w:lang w:val="fr-BE"/>
        </w:rPr>
        <w:t xml:space="preserve">Standard </w:t>
      </w:r>
      <w:r w:rsidR="00450369" w:rsidRPr="00563FB0">
        <w:rPr>
          <w:lang w:val="fr-BE"/>
        </w:rPr>
        <w:t xml:space="preserve">Grant </w:t>
      </w:r>
      <w:proofErr w:type="spellStart"/>
      <w:r w:rsidRPr="00563FB0">
        <w:rPr>
          <w:lang w:val="fr-BE"/>
        </w:rPr>
        <w:t>Contract</w:t>
      </w:r>
      <w:proofErr w:type="spellEnd"/>
    </w:p>
    <w:bookmarkEnd w:id="52"/>
    <w:p w14:paraId="604C8E05"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II:</w:t>
      </w:r>
      <w:r w:rsidR="00946471" w:rsidRPr="00807DAF">
        <w:tab/>
      </w:r>
      <w:r w:rsidR="00AF6397">
        <w:t>g</w:t>
      </w:r>
      <w:r w:rsidRPr="00807DAF">
        <w:t xml:space="preserve">eneral conditions </w:t>
      </w:r>
    </w:p>
    <w:p w14:paraId="73F13F50"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IV</w:t>
      </w:r>
      <w:r w:rsidR="004D7B57" w:rsidRPr="00807DAF">
        <w:t>:</w:t>
      </w:r>
      <w:r w:rsidR="00946471" w:rsidRPr="00807DAF">
        <w:tab/>
      </w:r>
      <w:r w:rsidRPr="00807DAF">
        <w:t xml:space="preserve">contract award </w:t>
      </w:r>
      <w:r w:rsidR="00AF6397">
        <w:t>rules</w:t>
      </w:r>
    </w:p>
    <w:p w14:paraId="0916D6AD"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w:t>
      </w:r>
      <w:r w:rsidR="00600738" w:rsidRPr="00807DAF">
        <w:t>nnex</w:t>
      </w:r>
      <w:r w:rsidRPr="00807DAF">
        <w:t xml:space="preserve"> V</w:t>
      </w:r>
      <w:r w:rsidR="004D7B57" w:rsidRPr="00807DAF">
        <w:t>:</w:t>
      </w:r>
      <w:r w:rsidR="00946471" w:rsidRPr="00807DAF">
        <w:tab/>
      </w:r>
      <w:r w:rsidRPr="00807DAF">
        <w:t>standard request for payment</w:t>
      </w:r>
    </w:p>
    <w:p w14:paraId="4C367301"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009D141D" w:rsidRPr="00807DAF">
        <w:t>A</w:t>
      </w:r>
      <w:r w:rsidRPr="00807DAF">
        <w:t>nnex VI</w:t>
      </w:r>
      <w:r w:rsidR="004D7B57" w:rsidRPr="00807DAF">
        <w:t>:</w:t>
      </w:r>
      <w:r w:rsidR="00946471" w:rsidRPr="00807DAF">
        <w:tab/>
      </w:r>
      <w:r w:rsidRPr="00807DAF">
        <w:t>model narrative and financial report</w:t>
      </w:r>
    </w:p>
    <w:p w14:paraId="5FE6C421" w14:textId="77777777" w:rsidR="00946471" w:rsidRPr="007904B1" w:rsidRDefault="00600738" w:rsidP="00BC0D86">
      <w:pPr>
        <w:tabs>
          <w:tab w:val="left" w:pos="567"/>
          <w:tab w:val="left" w:pos="1701"/>
        </w:tabs>
        <w:spacing w:after="0"/>
        <w:ind w:left="1701" w:hanging="1276"/>
      </w:pPr>
      <w:r w:rsidRPr="007904B1">
        <w:t>-A</w:t>
      </w:r>
      <w:r w:rsidR="005677E7" w:rsidRPr="007904B1">
        <w:t xml:space="preserve">nnex </w:t>
      </w:r>
      <w:r w:rsidRPr="007904B1">
        <w:t>VII</w:t>
      </w:r>
      <w:r w:rsidR="005677E7" w:rsidRPr="007904B1">
        <w:t>:</w:t>
      </w:r>
      <w:r w:rsidR="00946471" w:rsidRPr="00CC28AF">
        <w:tab/>
      </w:r>
      <w:r w:rsidR="005677E7" w:rsidRPr="007904B1">
        <w:t xml:space="preserve">model report of factual findings and terms of reference for an expenditure verification of an </w:t>
      </w:r>
      <w:r w:rsidR="00D23749" w:rsidRPr="007904B1">
        <w:t xml:space="preserve">EU </w:t>
      </w:r>
      <w:r w:rsidR="005677E7" w:rsidRPr="007904B1">
        <w:t>financed grant contract for external action</w:t>
      </w:r>
    </w:p>
    <w:p w14:paraId="32FF0CDE" w14:textId="77777777" w:rsidR="005677E7" w:rsidRPr="00033F4E" w:rsidRDefault="005677E7" w:rsidP="00BC0D86">
      <w:pPr>
        <w:tabs>
          <w:tab w:val="left" w:pos="567"/>
          <w:tab w:val="left" w:pos="1701"/>
        </w:tabs>
        <w:spacing w:after="0"/>
        <w:ind w:left="1701" w:hanging="1276"/>
      </w:pPr>
      <w:r w:rsidRPr="007904B1">
        <w:t>-</w:t>
      </w:r>
      <w:r w:rsidR="00600738" w:rsidRPr="007904B1">
        <w:t>A</w:t>
      </w:r>
      <w:r w:rsidR="00946471" w:rsidRPr="007904B1">
        <w:t>nnex</w:t>
      </w:r>
      <w:r w:rsidRPr="007904B1">
        <w:t xml:space="preserve"> </w:t>
      </w:r>
      <w:r w:rsidR="00600738" w:rsidRPr="007904B1">
        <w:t>VIII</w:t>
      </w:r>
      <w:r w:rsidRPr="007904B1">
        <w:t>:</w:t>
      </w:r>
      <w:r w:rsidR="00946471" w:rsidRPr="00CC28AF">
        <w:tab/>
      </w:r>
      <w:r w:rsidR="00946471" w:rsidRPr="007904B1">
        <w:t>model financial guarantee</w:t>
      </w:r>
    </w:p>
    <w:p w14:paraId="7D9D632E" w14:textId="77777777" w:rsidR="002573AC" w:rsidRDefault="00D23749" w:rsidP="00BC0D86">
      <w:pPr>
        <w:tabs>
          <w:tab w:val="left" w:pos="567"/>
          <w:tab w:val="left" w:pos="1701"/>
        </w:tabs>
        <w:spacing w:after="0"/>
        <w:ind w:left="1701" w:hanging="1276"/>
      </w:pPr>
      <w:r w:rsidRPr="007904B1">
        <w:t>-</w:t>
      </w:r>
      <w:r w:rsidR="00600738" w:rsidRPr="007904B1">
        <w:t>A</w:t>
      </w:r>
      <w:r w:rsidRPr="007904B1">
        <w:t xml:space="preserve">nnex </w:t>
      </w:r>
      <w:r w:rsidR="00600738" w:rsidRPr="007904B1">
        <w:t>IX</w:t>
      </w:r>
      <w:r w:rsidRPr="007904B1">
        <w:t>:</w:t>
      </w:r>
      <w:r w:rsidRPr="00CC28AF">
        <w:tab/>
      </w:r>
      <w:r w:rsidRPr="007904B1">
        <w:t>standard template for transfer of</w:t>
      </w:r>
      <w:r w:rsidR="009C67A1" w:rsidRPr="007904B1">
        <w:t xml:space="preserve"> ownership of</w:t>
      </w:r>
      <w:r w:rsidRPr="007904B1">
        <w:t xml:space="preserve"> assets</w:t>
      </w:r>
    </w:p>
    <w:p w14:paraId="4623B624" w14:textId="714976D4" w:rsidR="001A493A" w:rsidRPr="00807DAF" w:rsidRDefault="001A493A" w:rsidP="001A493A">
      <w:pPr>
        <w:tabs>
          <w:tab w:val="left" w:pos="567"/>
          <w:tab w:val="left" w:pos="1701"/>
        </w:tabs>
        <w:spacing w:after="0"/>
        <w:ind w:left="1701" w:hanging="1276"/>
      </w:pPr>
      <w:r w:rsidRPr="004B5BD5">
        <w:t xml:space="preserve">-Annex X:     </w:t>
      </w:r>
      <w:r>
        <w:t xml:space="preserve"> </w:t>
      </w:r>
      <w:r w:rsidR="00C120B8">
        <w:t>f</w:t>
      </w:r>
      <w:r w:rsidRPr="004B5BD5">
        <w:t>inancial Support to Third Parties</w:t>
      </w:r>
    </w:p>
    <w:p w14:paraId="16C95DE4" w14:textId="77777777" w:rsidR="001A493A" w:rsidRPr="00807DAF" w:rsidRDefault="001A493A" w:rsidP="00BC0D86">
      <w:pPr>
        <w:tabs>
          <w:tab w:val="left" w:pos="567"/>
          <w:tab w:val="left" w:pos="1701"/>
        </w:tabs>
        <w:spacing w:after="0"/>
        <w:ind w:left="1701" w:hanging="1276"/>
      </w:pPr>
    </w:p>
    <w:p w14:paraId="19F2E74E" w14:textId="77777777" w:rsidR="0048369D" w:rsidRPr="00807DAF" w:rsidRDefault="0048369D" w:rsidP="00BC0D86">
      <w:pPr>
        <w:tabs>
          <w:tab w:val="left" w:pos="567"/>
          <w:tab w:val="left" w:pos="1701"/>
        </w:tabs>
        <w:spacing w:after="0"/>
        <w:ind w:left="1701" w:hanging="1276"/>
      </w:pPr>
    </w:p>
    <w:p w14:paraId="16A05E1A" w14:textId="77777777" w:rsidR="0048369D" w:rsidRPr="00807DAF" w:rsidRDefault="0048369D" w:rsidP="00BC0D86">
      <w:pPr>
        <w:tabs>
          <w:tab w:val="left" w:pos="567"/>
          <w:tab w:val="left" w:pos="1701"/>
        </w:tabs>
        <w:spacing w:after="0"/>
        <w:ind w:left="1701" w:hanging="1276"/>
      </w:pPr>
    </w:p>
    <w:p w14:paraId="2146B8DB" w14:textId="089AF117" w:rsidR="006823CE" w:rsidRPr="00807DAF" w:rsidRDefault="00112E4F" w:rsidP="006823CE">
      <w:pPr>
        <w:tabs>
          <w:tab w:val="left" w:pos="1134"/>
        </w:tabs>
        <w:ind w:left="1134" w:hanging="1134"/>
        <w:jc w:val="left"/>
        <w:rPr>
          <w:szCs w:val="22"/>
        </w:rPr>
      </w:pPr>
      <w:r w:rsidRPr="00807DAF">
        <w:rPr>
          <w:szCs w:val="22"/>
        </w:rPr>
        <w:t>A</w:t>
      </w:r>
      <w:r w:rsidR="00600738" w:rsidRPr="00807DAF">
        <w:rPr>
          <w:szCs w:val="22"/>
        </w:rPr>
        <w:t xml:space="preserve">nnex </w:t>
      </w:r>
      <w:r w:rsidR="00563FB0">
        <w:rPr>
          <w:szCs w:val="22"/>
        </w:rPr>
        <w:t>H</w:t>
      </w:r>
      <w:r w:rsidR="00600738" w:rsidRPr="00807DAF">
        <w:rPr>
          <w:szCs w:val="22"/>
        </w:rPr>
        <w:t>:</w:t>
      </w:r>
      <w:r w:rsidR="00600738" w:rsidRPr="00807DAF">
        <w:rPr>
          <w:szCs w:val="22"/>
        </w:rPr>
        <w:tab/>
      </w:r>
      <w:r w:rsidR="00AA4FE0" w:rsidRPr="00807DAF">
        <w:rPr>
          <w:szCs w:val="22"/>
        </w:rPr>
        <w:t>Daily allowance rates (</w:t>
      </w:r>
      <w:r w:rsidR="00AF6397">
        <w:rPr>
          <w:szCs w:val="22"/>
        </w:rPr>
        <w:t>p</w:t>
      </w:r>
      <w:r w:rsidRPr="00807DAF">
        <w:rPr>
          <w:szCs w:val="22"/>
        </w:rPr>
        <w:t>er diem</w:t>
      </w:r>
      <w:r w:rsidR="00AA4FE0" w:rsidRPr="00807DAF">
        <w:rPr>
          <w:szCs w:val="22"/>
        </w:rPr>
        <w:t>)</w:t>
      </w:r>
      <w:r w:rsidRPr="00807DAF">
        <w:rPr>
          <w:szCs w:val="22"/>
        </w:rPr>
        <w:t xml:space="preserve">, available at the following address: </w:t>
      </w:r>
      <w:r w:rsidR="006823CE">
        <w:rPr>
          <w:szCs w:val="22"/>
        </w:rPr>
        <w:br/>
      </w:r>
      <w:hyperlink r:id="rId30" w:history="1">
        <w:r w:rsidR="003B626C" w:rsidRPr="0032408B">
          <w:rPr>
            <w:rStyle w:val="Hyperlink"/>
            <w:szCs w:val="22"/>
          </w:rPr>
          <w:t>http://ec.europa.eu/europeaid/funding/about-procurement-contracts/procedures-and-practical-guide-prag/diems_en</w:t>
        </w:r>
      </w:hyperlink>
      <w:r w:rsidR="003B626C">
        <w:rPr>
          <w:szCs w:val="22"/>
        </w:rPr>
        <w:t xml:space="preserve"> </w:t>
      </w:r>
    </w:p>
    <w:p w14:paraId="312E5FE2" w14:textId="77777777" w:rsidR="00611288" w:rsidRDefault="00611288" w:rsidP="00600738">
      <w:pPr>
        <w:tabs>
          <w:tab w:val="left" w:pos="1134"/>
        </w:tabs>
        <w:ind w:left="1134" w:hanging="1134"/>
        <w:jc w:val="left"/>
        <w:rPr>
          <w:szCs w:val="22"/>
        </w:rPr>
      </w:pPr>
      <w:bookmarkStart w:id="53" w:name="_Toc216513983"/>
      <w:r w:rsidRPr="00807DAF">
        <w:rPr>
          <w:szCs w:val="22"/>
        </w:rPr>
        <w:t>A</w:t>
      </w:r>
      <w:r>
        <w:rPr>
          <w:szCs w:val="22"/>
        </w:rPr>
        <w:t>nnex</w:t>
      </w:r>
      <w:r w:rsidRPr="00807DAF">
        <w:rPr>
          <w:szCs w:val="22"/>
        </w:rPr>
        <w:t xml:space="preserve"> </w:t>
      </w:r>
      <w:r>
        <w:rPr>
          <w:szCs w:val="22"/>
        </w:rPr>
        <w:t>J</w:t>
      </w:r>
      <w:r w:rsidRPr="00807DAF">
        <w:rPr>
          <w:szCs w:val="22"/>
        </w:rPr>
        <w:t>:</w:t>
      </w:r>
      <w:r w:rsidRPr="00807DAF">
        <w:rPr>
          <w:szCs w:val="22"/>
        </w:rPr>
        <w:tab/>
        <w:t xml:space="preserve">Information on the tax regime applicable to grant </w:t>
      </w:r>
      <w:r>
        <w:rPr>
          <w:szCs w:val="22"/>
        </w:rPr>
        <w:t>contracts signed under the call</w:t>
      </w:r>
    </w:p>
    <w:p w14:paraId="5B212F07" w14:textId="77777777" w:rsidR="00211B8D" w:rsidRDefault="00600738" w:rsidP="00600738">
      <w:pPr>
        <w:tabs>
          <w:tab w:val="left" w:pos="1134"/>
        </w:tabs>
        <w:ind w:left="1134" w:hanging="1134"/>
        <w:jc w:val="left"/>
        <w:rPr>
          <w:szCs w:val="22"/>
        </w:rPr>
      </w:pPr>
      <w:r w:rsidRPr="00FE05D4">
        <w:rPr>
          <w:szCs w:val="22"/>
        </w:rPr>
        <w:t xml:space="preserve">Annex </w:t>
      </w:r>
      <w:r w:rsidR="00DE4399">
        <w:rPr>
          <w:szCs w:val="22"/>
        </w:rPr>
        <w:t>K</w:t>
      </w:r>
      <w:r w:rsidRPr="00FE05D4">
        <w:rPr>
          <w:szCs w:val="22"/>
        </w:rPr>
        <w:t>:</w:t>
      </w:r>
      <w:r w:rsidRPr="00D52530">
        <w:rPr>
          <w:szCs w:val="22"/>
        </w:rPr>
        <w:tab/>
      </w:r>
      <w:r w:rsidR="00211B8D" w:rsidRPr="00FE05D4">
        <w:rPr>
          <w:szCs w:val="22"/>
        </w:rPr>
        <w:t>G</w:t>
      </w:r>
      <w:r w:rsidRPr="00FE05D4">
        <w:rPr>
          <w:szCs w:val="22"/>
        </w:rPr>
        <w:t>uidelines and Checklist for assessing</w:t>
      </w:r>
      <w:r w:rsidR="00211B8D" w:rsidRPr="00FE05D4">
        <w:rPr>
          <w:szCs w:val="22"/>
        </w:rPr>
        <w:t xml:space="preserve"> B</w:t>
      </w:r>
      <w:r w:rsidRPr="00FE05D4">
        <w:rPr>
          <w:szCs w:val="22"/>
        </w:rPr>
        <w:t>udget and Simplified cost options</w:t>
      </w:r>
      <w:r w:rsidR="00211B8D" w:rsidRPr="00FE05D4">
        <w:rPr>
          <w:szCs w:val="22"/>
        </w:rPr>
        <w:t>.</w:t>
      </w:r>
    </w:p>
    <w:p w14:paraId="6C801A0E" w14:textId="77777777" w:rsidR="00712E19" w:rsidRDefault="00712E19" w:rsidP="00712E19">
      <w:pPr>
        <w:autoSpaceDE w:val="0"/>
        <w:autoSpaceDN w:val="0"/>
        <w:adjustRightInd w:val="0"/>
        <w:spacing w:before="0" w:after="0"/>
        <w:jc w:val="left"/>
        <w:rPr>
          <w:color w:val="0000FF"/>
          <w:szCs w:val="22"/>
          <w:lang w:eastAsia="en-GB"/>
        </w:rPr>
      </w:pPr>
      <w:r>
        <w:rPr>
          <w:color w:val="000000"/>
          <w:szCs w:val="22"/>
          <w:lang w:eastAsia="en-GB"/>
        </w:rPr>
        <w:lastRenderedPageBreak/>
        <w:t xml:space="preserve">Annex </w:t>
      </w:r>
      <w:proofErr w:type="gramStart"/>
      <w:r>
        <w:rPr>
          <w:color w:val="000000"/>
          <w:szCs w:val="22"/>
          <w:lang w:eastAsia="en-GB"/>
        </w:rPr>
        <w:t>L :</w:t>
      </w:r>
      <w:proofErr w:type="gramEnd"/>
      <w:r>
        <w:rPr>
          <w:color w:val="000000"/>
          <w:szCs w:val="22"/>
          <w:lang w:eastAsia="en-GB"/>
        </w:rPr>
        <w:t xml:space="preserve">     e-learning : </w:t>
      </w:r>
      <w:hyperlink r:id="rId31" w:history="1">
        <w:r w:rsidRPr="00F52113">
          <w:rPr>
            <w:rStyle w:val="Hyperlink"/>
            <w:szCs w:val="22"/>
            <w:lang w:eastAsia="en-GB"/>
          </w:rPr>
          <w:t>https://webgate.ec.europa.eu/europeaid/prospect/external/</w:t>
        </w:r>
      </w:hyperlink>
    </w:p>
    <w:p w14:paraId="0974787C" w14:textId="77777777" w:rsidR="00712E19" w:rsidRDefault="00712E19" w:rsidP="00712E19">
      <w:pPr>
        <w:autoSpaceDE w:val="0"/>
        <w:autoSpaceDN w:val="0"/>
        <w:adjustRightInd w:val="0"/>
        <w:spacing w:before="0" w:after="0"/>
        <w:jc w:val="left"/>
        <w:rPr>
          <w:color w:val="0000FF"/>
          <w:szCs w:val="22"/>
          <w:lang w:eastAsia="en-GB"/>
        </w:rPr>
      </w:pPr>
    </w:p>
    <w:p w14:paraId="543EE804" w14:textId="77777777" w:rsidR="00712E19" w:rsidRDefault="00712E19" w:rsidP="00712E19">
      <w:pPr>
        <w:autoSpaceDE w:val="0"/>
        <w:autoSpaceDN w:val="0"/>
        <w:adjustRightInd w:val="0"/>
        <w:spacing w:before="0" w:after="0"/>
        <w:jc w:val="left"/>
        <w:rPr>
          <w:color w:val="0000FF"/>
          <w:szCs w:val="22"/>
          <w:lang w:eastAsia="en-GB"/>
        </w:rPr>
      </w:pPr>
      <w:r>
        <w:rPr>
          <w:color w:val="000000"/>
          <w:szCs w:val="22"/>
          <w:lang w:eastAsia="en-GB"/>
        </w:rPr>
        <w:t xml:space="preserve">Annex </w:t>
      </w:r>
      <w:proofErr w:type="gramStart"/>
      <w:r>
        <w:rPr>
          <w:color w:val="000000"/>
          <w:szCs w:val="22"/>
          <w:lang w:eastAsia="en-GB"/>
        </w:rPr>
        <w:t>M :</w:t>
      </w:r>
      <w:proofErr w:type="gramEnd"/>
      <w:r>
        <w:rPr>
          <w:color w:val="000000"/>
          <w:szCs w:val="22"/>
          <w:lang w:eastAsia="en-GB"/>
        </w:rPr>
        <w:t xml:space="preserve"> user manual for PROSPECT : </w:t>
      </w:r>
      <w:hyperlink r:id="rId32" w:history="1">
        <w:r w:rsidRPr="00F52113">
          <w:rPr>
            <w:rStyle w:val="Hyperlink"/>
            <w:szCs w:val="22"/>
            <w:lang w:eastAsia="en-GB"/>
          </w:rPr>
          <w:t>https://webgate.ec.europa.eu/europeaid/prospect/external/</w:t>
        </w:r>
      </w:hyperlink>
    </w:p>
    <w:p w14:paraId="0C57B96C" w14:textId="77777777" w:rsidR="00712E19" w:rsidRDefault="00712E19" w:rsidP="00712E19">
      <w:pPr>
        <w:autoSpaceDE w:val="0"/>
        <w:autoSpaceDN w:val="0"/>
        <w:adjustRightInd w:val="0"/>
        <w:spacing w:before="0" w:after="0"/>
        <w:jc w:val="left"/>
        <w:rPr>
          <w:color w:val="0000FF"/>
          <w:szCs w:val="22"/>
          <w:lang w:eastAsia="en-GB"/>
        </w:rPr>
      </w:pPr>
    </w:p>
    <w:p w14:paraId="08EE34C4" w14:textId="77777777" w:rsidR="006F4ACD" w:rsidRPr="00156ED0" w:rsidRDefault="006F4ACD" w:rsidP="002D4ACD">
      <w:pPr>
        <w:spacing w:before="240"/>
        <w:jc w:val="left"/>
        <w:rPr>
          <w:rFonts w:ascii="Times New Roman Bold" w:hAnsi="Times New Roman Bold"/>
          <w:b/>
          <w:caps/>
          <w:szCs w:val="22"/>
        </w:rPr>
      </w:pPr>
      <w:bookmarkStart w:id="54" w:name="_Toc216513984"/>
      <w:bookmarkEnd w:id="53"/>
      <w:r w:rsidRPr="00156ED0">
        <w:rPr>
          <w:rFonts w:ascii="Times New Roman Bold" w:hAnsi="Times New Roman Bold"/>
          <w:b/>
          <w:caps/>
        </w:rPr>
        <w:t>Useful links</w:t>
      </w:r>
    </w:p>
    <w:p w14:paraId="107926C4" w14:textId="77777777" w:rsidR="001A493A" w:rsidRDefault="001A493A" w:rsidP="001A493A">
      <w:pPr>
        <w:spacing w:before="240"/>
        <w:jc w:val="left"/>
        <w:rPr>
          <w:rStyle w:val="Hyperlink"/>
          <w:rFonts w:eastAsiaTheme="majorEastAsia"/>
          <w:szCs w:val="22"/>
        </w:rPr>
      </w:pPr>
      <w:r>
        <w:rPr>
          <w:rFonts w:ascii="Times New Roman Bold" w:hAnsi="Times New Roman Bold"/>
          <w:smallCaps/>
        </w:rPr>
        <w:t>PROSPECT e-learning</w:t>
      </w:r>
      <w:r>
        <w:rPr>
          <w:color w:val="000000"/>
          <w:szCs w:val="22"/>
        </w:rPr>
        <w:br/>
      </w:r>
      <w:r>
        <w:rPr>
          <w:color w:val="000000"/>
          <w:szCs w:val="22"/>
        </w:rPr>
        <w:br/>
      </w:r>
      <w:hyperlink r:id="rId33" w:history="1">
        <w:r w:rsidRPr="00BA60C2">
          <w:rPr>
            <w:rStyle w:val="Hyperlink"/>
            <w:szCs w:val="22"/>
            <w:lang w:eastAsia="en-GB"/>
          </w:rPr>
          <w:t>https://circabc.europa.eu/d/a/workspace/SpacesStore/9ffda21c-44d2-43c2-aa8c-4800ef01d468/EL_PROSPECT_APPLICANTS_EN.pdf</w:t>
        </w:r>
      </w:hyperlink>
      <w:r>
        <w:rPr>
          <w:color w:val="000000"/>
          <w:szCs w:val="22"/>
          <w:lang w:eastAsia="en-GB"/>
        </w:rPr>
        <w:t xml:space="preserve"> </w:t>
      </w:r>
    </w:p>
    <w:p w14:paraId="12D0E0AF" w14:textId="77777777" w:rsidR="001A493A" w:rsidRDefault="001A493A" w:rsidP="001A493A">
      <w:pPr>
        <w:spacing w:before="240"/>
        <w:jc w:val="left"/>
        <w:rPr>
          <w:rFonts w:ascii="Times New Roman Bold" w:hAnsi="Times New Roman Bold"/>
          <w:smallCaps/>
        </w:rPr>
      </w:pPr>
      <w:r>
        <w:rPr>
          <w:rFonts w:ascii="Times New Roman Bold" w:hAnsi="Times New Roman Bold"/>
          <w:smallCaps/>
        </w:rPr>
        <w:t>Users' manual for PROSPECT</w:t>
      </w:r>
      <w:r>
        <w:rPr>
          <w:rFonts w:ascii="Times New Roman Bold" w:hAnsi="Times New Roman Bold"/>
          <w:smallCaps/>
        </w:rPr>
        <w:br/>
      </w:r>
      <w:r>
        <w:rPr>
          <w:color w:val="000000"/>
          <w:szCs w:val="22"/>
        </w:rPr>
        <w:br/>
      </w:r>
      <w:hyperlink r:id="rId34" w:history="1">
        <w:r>
          <w:rPr>
            <w:rStyle w:val="Hyperlink"/>
            <w:rFonts w:eastAsiaTheme="majorEastAsia"/>
            <w:szCs w:val="22"/>
          </w:rPr>
          <w:t>https://webgate.ec.europa.eu/fpfis/wikis/display/devcoiskb/PROSPECT+-+Applicants%27+User+Manual</w:t>
        </w:r>
      </w:hyperlink>
    </w:p>
    <w:p w14:paraId="356AF2B5" w14:textId="77777777" w:rsidR="00345514" w:rsidRPr="00156ED0" w:rsidRDefault="00345514" w:rsidP="00156ED0">
      <w:pPr>
        <w:spacing w:before="240"/>
        <w:jc w:val="left"/>
        <w:rPr>
          <w:smallCaps/>
          <w:szCs w:val="22"/>
        </w:rPr>
      </w:pPr>
      <w:r w:rsidRPr="00156ED0">
        <w:rPr>
          <w:rFonts w:ascii="Times New Roman Bold" w:hAnsi="Times New Roman Bold"/>
          <w:smallCaps/>
        </w:rPr>
        <w:t>Project Cycle Management Guidelines</w:t>
      </w:r>
      <w:bookmarkEnd w:id="54"/>
      <w:r w:rsidRPr="00156ED0">
        <w:rPr>
          <w:smallCaps/>
          <w:szCs w:val="22"/>
        </w:rPr>
        <w:t xml:space="preserve"> </w:t>
      </w:r>
    </w:p>
    <w:p w14:paraId="62EDE9BC" w14:textId="77777777" w:rsidR="00D3344D" w:rsidRDefault="00242059" w:rsidP="002D4ACD">
      <w:pPr>
        <w:spacing w:before="240"/>
        <w:jc w:val="left"/>
        <w:rPr>
          <w:b/>
          <w:szCs w:val="22"/>
        </w:rPr>
      </w:pPr>
      <w:hyperlink r:id="rId35" w:history="1">
        <w:r w:rsidR="00D3344D">
          <w:rPr>
            <w:rStyle w:val="Hyperlink"/>
            <w:szCs w:val="22"/>
          </w:rPr>
          <w:t>https://ec.europa.eu/europeaid/aid-delivery-methods-project-cycle-management-guidelines-vol-1_en</w:t>
        </w:r>
      </w:hyperlink>
    </w:p>
    <w:p w14:paraId="5C2CC549" w14:textId="77777777" w:rsidR="00BB518F" w:rsidRPr="00807DAF" w:rsidRDefault="00BB518F" w:rsidP="002D4ACD">
      <w:pPr>
        <w:spacing w:before="240"/>
        <w:jc w:val="left"/>
        <w:rPr>
          <w:b/>
          <w:szCs w:val="22"/>
        </w:rPr>
      </w:pPr>
      <w:r w:rsidRPr="00156ED0">
        <w:rPr>
          <w:rFonts w:ascii="Times New Roman Bold" w:hAnsi="Times New Roman Bold"/>
          <w:smallCaps/>
        </w:rPr>
        <w:t>The implementation of grant contracts - A Users' Guide</w:t>
      </w:r>
    </w:p>
    <w:p w14:paraId="3C996241" w14:textId="77777777" w:rsidR="002573AC" w:rsidRPr="00807DAF" w:rsidRDefault="00242059" w:rsidP="00600738">
      <w:pPr>
        <w:jc w:val="left"/>
        <w:rPr>
          <w:b/>
          <w:szCs w:val="22"/>
        </w:rPr>
      </w:pPr>
      <w:hyperlink r:id="rId36" w:history="1">
        <w:r w:rsidR="00D3344D">
          <w:rPr>
            <w:rStyle w:val="Hyperlink"/>
            <w:szCs w:val="22"/>
          </w:rPr>
          <w:t>http://ec.europa.eu/europeaid/companion/document.do?nodeNumber=19</w:t>
        </w:r>
      </w:hyperlink>
    </w:p>
    <w:p w14:paraId="635B1E32" w14:textId="77777777" w:rsidR="001E10DA" w:rsidRPr="000F68CC" w:rsidRDefault="001E10DA" w:rsidP="00156ED0">
      <w:pPr>
        <w:spacing w:before="240"/>
        <w:jc w:val="left"/>
        <w:rPr>
          <w:b/>
          <w:szCs w:val="22"/>
        </w:rPr>
      </w:pPr>
      <w:r w:rsidRPr="00156ED0">
        <w:rPr>
          <w:rFonts w:ascii="Times New Roman Bold" w:hAnsi="Times New Roman Bold"/>
          <w:smallCaps/>
        </w:rPr>
        <w:t>Financial Toolkit</w:t>
      </w:r>
      <w:r w:rsidR="0061182F" w:rsidRPr="00BC1CD4">
        <w:rPr>
          <w:b/>
          <w:szCs w:val="22"/>
        </w:rPr>
        <w:tab/>
      </w:r>
    </w:p>
    <w:p w14:paraId="39A2420D" w14:textId="77777777" w:rsidR="005D7AF3" w:rsidRPr="000F68CC" w:rsidRDefault="00242059" w:rsidP="002573AC">
      <w:pPr>
        <w:jc w:val="left"/>
        <w:rPr>
          <w:szCs w:val="22"/>
        </w:rPr>
      </w:pPr>
      <w:hyperlink r:id="rId37" w:history="1">
        <w:r w:rsidR="00D3344D" w:rsidRPr="000F68CC">
          <w:rPr>
            <w:rStyle w:val="Hyperlink"/>
            <w:szCs w:val="22"/>
          </w:rPr>
          <w:t>http://ec.europa.eu/europeaid/sites/devco/files/financial-management-toolkit-for-recipients-15112010_en.pdf</w:t>
        </w:r>
      </w:hyperlink>
    </w:p>
    <w:p w14:paraId="20CCB70E" w14:textId="77777777" w:rsidR="00E81C51" w:rsidRPr="00611288" w:rsidRDefault="00E81C51" w:rsidP="00E81C51">
      <w:pPr>
        <w:rPr>
          <w:szCs w:val="22"/>
        </w:rPr>
      </w:pPr>
      <w:r w:rsidRPr="00611288">
        <w:rPr>
          <w:szCs w:val="22"/>
        </w:rPr>
        <w:t xml:space="preserve">Please note: The toolkit is not part of the grant contract and has no legal value. It merely provides general guidance and may in some details differ from the signed grant contract. In order to ensure compliance with their contractual obligations beneficiaries should not exclusively rely on the toolkit but always consult their individual contract documents. </w:t>
      </w:r>
    </w:p>
    <w:p w14:paraId="68974EC1" w14:textId="77777777" w:rsidR="00E81C51" w:rsidRPr="000F68CC" w:rsidRDefault="00E81C51" w:rsidP="002573AC">
      <w:pPr>
        <w:jc w:val="left"/>
        <w:rPr>
          <w:szCs w:val="22"/>
        </w:rPr>
      </w:pPr>
    </w:p>
    <w:p w14:paraId="0FB52493" w14:textId="77777777" w:rsidR="005D7AF3" w:rsidRPr="00611288" w:rsidRDefault="005D7AF3" w:rsidP="002D4ACD">
      <w:pPr>
        <w:spacing w:before="360"/>
        <w:jc w:val="center"/>
        <w:rPr>
          <w:szCs w:val="22"/>
        </w:rPr>
      </w:pPr>
      <w:r w:rsidRPr="00611288">
        <w:rPr>
          <w:szCs w:val="22"/>
        </w:rPr>
        <w:t>* * *</w:t>
      </w:r>
    </w:p>
    <w:p w14:paraId="3348C271" w14:textId="77777777" w:rsidR="002573AC" w:rsidRPr="00807DAF" w:rsidRDefault="002573AC" w:rsidP="00A45351">
      <w:pPr>
        <w:jc w:val="left"/>
        <w:rPr>
          <w:b/>
          <w:szCs w:val="22"/>
          <w:highlight w:val="magenta"/>
          <w:lang w:val="pt-PT"/>
        </w:rPr>
      </w:pPr>
    </w:p>
    <w:sectPr w:rsidR="002573AC" w:rsidRPr="00807DAF" w:rsidSect="00EB1B18">
      <w:pgSz w:w="11906" w:h="16838" w:code="9"/>
      <w:pgMar w:top="907" w:right="1134" w:bottom="1134" w:left="1418" w:header="567" w:footer="54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41398" w14:textId="77777777" w:rsidR="003F07E0" w:rsidRDefault="003F07E0">
      <w:r>
        <w:separator/>
      </w:r>
    </w:p>
    <w:p w14:paraId="0B6054CF" w14:textId="77777777" w:rsidR="003F07E0" w:rsidRDefault="003F07E0"/>
  </w:endnote>
  <w:endnote w:type="continuationSeparator" w:id="0">
    <w:p w14:paraId="33208670" w14:textId="77777777" w:rsidR="003F07E0" w:rsidRDefault="003F07E0">
      <w:r>
        <w:continuationSeparator/>
      </w:r>
    </w:p>
    <w:p w14:paraId="01D25134" w14:textId="77777777" w:rsidR="003F07E0" w:rsidRDefault="003F07E0"/>
  </w:endnote>
  <w:endnote w:type="continuationNotice" w:id="1">
    <w:p w14:paraId="219C2AE4" w14:textId="77777777" w:rsidR="003F07E0" w:rsidRDefault="003F07E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69195" w14:textId="77777777" w:rsidR="003F07E0" w:rsidRDefault="003F07E0">
    <w:pPr>
      <w:pStyle w:val="Footer"/>
      <w:jc w:val="right"/>
    </w:pPr>
    <w:r>
      <w:fldChar w:fldCharType="begin"/>
    </w:r>
    <w:r>
      <w:instrText xml:space="preserve"> PAGE   \* MERGEFORMAT </w:instrText>
    </w:r>
    <w:r>
      <w:fldChar w:fldCharType="separate"/>
    </w:r>
    <w:r w:rsidR="00242059">
      <w:rPr>
        <w:noProof/>
      </w:rPr>
      <w:t>44</w:t>
    </w:r>
    <w:r>
      <w:fldChar w:fldCharType="end"/>
    </w:r>
  </w:p>
  <w:p w14:paraId="14DC09E0" w14:textId="77777777" w:rsidR="003F07E0" w:rsidRDefault="003F0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66104" w14:textId="77777777" w:rsidR="003F07E0" w:rsidRPr="009A7E42" w:rsidRDefault="003F07E0" w:rsidP="008E6FE1">
    <w:pPr>
      <w:pStyle w:val="Footer"/>
      <w:tabs>
        <w:tab w:val="right" w:pos="9639"/>
      </w:tabs>
      <w:spacing w:after="0"/>
      <w:rPr>
        <w:rFonts w:ascii="Times New Roman" w:hAnsi="Times New Roman"/>
        <w:b/>
        <w:sz w:val="18"/>
        <w:szCs w:val="18"/>
      </w:rPr>
    </w:pPr>
    <w:proofErr w:type="spellStart"/>
    <w:r w:rsidRPr="009A7E42">
      <w:rPr>
        <w:rFonts w:ascii="Times New Roman" w:hAnsi="Times New Roman"/>
        <w:b/>
        <w:sz w:val="18"/>
        <w:szCs w:val="18"/>
      </w:rPr>
      <w:t>EuropeAid</w:t>
    </w:r>
    <w:proofErr w:type="spellEnd"/>
    <w:r w:rsidRPr="009A7E42">
      <w:rPr>
        <w:rFonts w:ascii="Times New Roman" w:hAnsi="Times New Roman"/>
        <w:b/>
        <w:sz w:val="18"/>
        <w:szCs w:val="18"/>
      </w:rPr>
      <w:t>/</w:t>
    </w:r>
    <w:r>
      <w:rPr>
        <w:rFonts w:ascii="Times New Roman" w:hAnsi="Times New Roman"/>
        <w:b/>
        <w:noProof/>
        <w:sz w:val="18"/>
        <w:szCs w:val="18"/>
      </w:rPr>
      <w:t>155232</w:t>
    </w:r>
    <w:r w:rsidRPr="009A7E42">
      <w:rPr>
        <w:rFonts w:ascii="Times New Roman" w:hAnsi="Times New Roman"/>
        <w:b/>
        <w:sz w:val="18"/>
        <w:szCs w:val="18"/>
      </w:rPr>
      <w:t>/</w:t>
    </w:r>
    <w:r>
      <w:rPr>
        <w:rFonts w:ascii="Times New Roman" w:hAnsi="Times New Roman"/>
        <w:b/>
        <w:noProof/>
        <w:sz w:val="18"/>
        <w:szCs w:val="18"/>
      </w:rPr>
      <w:t>DH</w:t>
    </w:r>
    <w:r w:rsidRPr="009A7E42">
      <w:rPr>
        <w:rFonts w:ascii="Times New Roman" w:hAnsi="Times New Roman"/>
        <w:b/>
        <w:sz w:val="18"/>
        <w:szCs w:val="18"/>
      </w:rPr>
      <w:t>/</w:t>
    </w:r>
    <w:r>
      <w:rPr>
        <w:rFonts w:ascii="Times New Roman" w:hAnsi="Times New Roman"/>
        <w:b/>
        <w:noProof/>
        <w:sz w:val="18"/>
        <w:szCs w:val="18"/>
      </w:rPr>
      <w:t>ACT</w:t>
    </w:r>
    <w:r w:rsidRPr="009A7E42">
      <w:rPr>
        <w:rFonts w:ascii="Times New Roman" w:hAnsi="Times New Roman"/>
        <w:b/>
        <w:sz w:val="18"/>
        <w:szCs w:val="18"/>
      </w:rPr>
      <w:t>/</w:t>
    </w:r>
    <w:r>
      <w:rPr>
        <w:rFonts w:ascii="Times New Roman" w:hAnsi="Times New Roman"/>
        <w:b/>
        <w:noProof/>
        <w:sz w:val="18"/>
        <w:szCs w:val="18"/>
      </w:rPr>
      <w:t>Multi</w:t>
    </w:r>
    <w:r w:rsidRPr="009A7E42">
      <w:rPr>
        <w:rFonts w:ascii="Times New Roman" w:hAnsi="Times New Roman"/>
        <w:b/>
        <w:sz w:val="18"/>
        <w:szCs w:val="18"/>
      </w:rPr>
      <w:tab/>
    </w:r>
    <w:r w:rsidRPr="009A7E42">
      <w:rPr>
        <w:rFonts w:ascii="Times New Roman" w:hAnsi="Times New Roman"/>
        <w:sz w:val="18"/>
        <w:szCs w:val="18"/>
      </w:rPr>
      <w:t xml:space="preserve">Page </w:t>
    </w:r>
    <w:r w:rsidRPr="009A7E42">
      <w:rPr>
        <w:rFonts w:ascii="Times New Roman" w:hAnsi="Times New Roman"/>
        <w:sz w:val="18"/>
        <w:szCs w:val="18"/>
      </w:rPr>
      <w:fldChar w:fldCharType="begin"/>
    </w:r>
    <w:r w:rsidRPr="009A7E42">
      <w:rPr>
        <w:rFonts w:ascii="Times New Roman" w:hAnsi="Times New Roman"/>
        <w:sz w:val="18"/>
        <w:szCs w:val="18"/>
      </w:rPr>
      <w:instrText xml:space="preserve"> PAGE   \* MERGEFORMAT </w:instrText>
    </w:r>
    <w:r w:rsidRPr="009A7E42">
      <w:rPr>
        <w:rFonts w:ascii="Times New Roman" w:hAnsi="Times New Roman"/>
        <w:sz w:val="18"/>
        <w:szCs w:val="18"/>
      </w:rPr>
      <w:fldChar w:fldCharType="separate"/>
    </w:r>
    <w:r w:rsidR="00242059">
      <w:rPr>
        <w:rFonts w:ascii="Times New Roman" w:hAnsi="Times New Roman"/>
        <w:noProof/>
        <w:sz w:val="18"/>
        <w:szCs w:val="18"/>
      </w:rPr>
      <w:t>1</w:t>
    </w:r>
    <w:r w:rsidRPr="009A7E42">
      <w:rPr>
        <w:rFonts w:ascii="Times New Roman" w:hAnsi="Times New Roman"/>
        <w:sz w:val="18"/>
        <w:szCs w:val="18"/>
      </w:rPr>
      <w:fldChar w:fldCharType="end"/>
    </w:r>
    <w:r w:rsidRPr="009A7E42">
      <w:rPr>
        <w:rFonts w:ascii="Times New Roman" w:hAnsi="Times New Roman"/>
        <w:sz w:val="18"/>
        <w:szCs w:val="18"/>
      </w:rPr>
      <w:t xml:space="preserve"> of </w:t>
    </w:r>
    <w:r w:rsidRPr="009A7E42">
      <w:rPr>
        <w:rFonts w:ascii="Times New Roman" w:hAnsi="Times New Roman"/>
        <w:sz w:val="18"/>
        <w:szCs w:val="18"/>
      </w:rPr>
      <w:fldChar w:fldCharType="begin"/>
    </w:r>
    <w:r w:rsidRPr="009A7E42">
      <w:rPr>
        <w:rFonts w:ascii="Times New Roman" w:hAnsi="Times New Roman"/>
        <w:sz w:val="18"/>
        <w:szCs w:val="18"/>
      </w:rPr>
      <w:instrText xml:space="preserve"> NUMPAGES   \* MERGEFORMAT </w:instrText>
    </w:r>
    <w:r w:rsidRPr="009A7E42">
      <w:rPr>
        <w:rFonts w:ascii="Times New Roman" w:hAnsi="Times New Roman"/>
        <w:sz w:val="18"/>
        <w:szCs w:val="18"/>
      </w:rPr>
      <w:fldChar w:fldCharType="separate"/>
    </w:r>
    <w:r w:rsidR="00242059">
      <w:rPr>
        <w:rFonts w:ascii="Times New Roman" w:hAnsi="Times New Roman"/>
        <w:noProof/>
        <w:sz w:val="18"/>
        <w:szCs w:val="18"/>
      </w:rPr>
      <w:t>53</w:t>
    </w:r>
    <w:r w:rsidRPr="009A7E42">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D9B72" w14:textId="77777777" w:rsidR="003F07E0" w:rsidRDefault="003F07E0">
      <w:r>
        <w:separator/>
      </w:r>
    </w:p>
  </w:footnote>
  <w:footnote w:type="continuationSeparator" w:id="0">
    <w:p w14:paraId="38D36934" w14:textId="77777777" w:rsidR="003F07E0" w:rsidRDefault="003F07E0">
      <w:r>
        <w:continuationSeparator/>
      </w:r>
    </w:p>
  </w:footnote>
  <w:footnote w:type="continuationNotice" w:id="1">
    <w:p w14:paraId="08D0FBA6" w14:textId="77777777" w:rsidR="003F07E0" w:rsidRPr="004D357E" w:rsidRDefault="003F07E0" w:rsidP="004D357E">
      <w:pPr>
        <w:pStyle w:val="Footer"/>
      </w:pPr>
    </w:p>
  </w:footnote>
  <w:footnote w:id="2">
    <w:p w14:paraId="17F16EB0" w14:textId="77777777" w:rsidR="003F07E0" w:rsidRDefault="003F07E0" w:rsidP="002D4EC2">
      <w:pPr>
        <w:pStyle w:val="FootnoteText"/>
        <w:ind w:left="142" w:hanging="142"/>
      </w:pPr>
      <w:r>
        <w:rPr>
          <w:rStyle w:val="FootnoteReference"/>
        </w:rPr>
        <w:footnoteRef/>
      </w:r>
      <w:r>
        <w:t xml:space="preserve"> </w:t>
      </w:r>
      <w:r w:rsidRPr="00F77D44">
        <w:rPr>
          <w:color w:val="000000"/>
        </w:rPr>
        <w:t>Online submission via PROSPECT is mandatory for this call for proposals (see Sec</w:t>
      </w:r>
      <w:r>
        <w:rPr>
          <w:color w:val="000000"/>
        </w:rPr>
        <w:t xml:space="preserve">tion 2.2.2). In PROSPECT all </w:t>
      </w:r>
      <w:r w:rsidRPr="00F77D44">
        <w:rPr>
          <w:color w:val="000000"/>
        </w:rPr>
        <w:t xml:space="preserve">dates and times are expressed in Brussels time. </w:t>
      </w:r>
      <w:r w:rsidRPr="00F77D44">
        <w:t>Applicants should note that the IT support is open Monday to Friday from 08:30 to 18:30 Brussels time (except for public holidays).</w:t>
      </w:r>
      <w:r>
        <w:t xml:space="preserve"> Applicants should take note of the weekly maintenance hours mentioned in the PROSPECT user manual.</w:t>
      </w:r>
    </w:p>
  </w:footnote>
  <w:footnote w:id="3">
    <w:p w14:paraId="24300C56" w14:textId="77777777" w:rsidR="003F07E0" w:rsidRDefault="003F07E0" w:rsidP="00AD680B">
      <w:pPr>
        <w:pStyle w:val="FootnoteText"/>
      </w:pPr>
      <w:r>
        <w:rPr>
          <w:rStyle w:val="FootnoteReference"/>
        </w:rPr>
        <w:footnoteRef/>
      </w:r>
      <w:r>
        <w:t xml:space="preserve"> An example of a </w:t>
      </w:r>
      <w:r>
        <w:rPr>
          <w:lang w:val="en-US"/>
        </w:rPr>
        <w:t xml:space="preserve">time converter tool available online: </w:t>
      </w:r>
      <w:hyperlink r:id="rId1" w:history="1">
        <w:r w:rsidRPr="004A50C0">
          <w:rPr>
            <w:rStyle w:val="Hyperlink"/>
            <w:lang w:val="en-US"/>
          </w:rPr>
          <w:t>http://www.timeanddate.com/worldclock/converter.html</w:t>
        </w:r>
      </w:hyperlink>
    </w:p>
  </w:footnote>
  <w:footnote w:id="4">
    <w:p w14:paraId="036A127C" w14:textId="2127ED69" w:rsidR="003F07E0" w:rsidRDefault="003F07E0">
      <w:pPr>
        <w:pStyle w:val="FootnoteText"/>
      </w:pPr>
      <w:r>
        <w:rPr>
          <w:rStyle w:val="FootnoteReference"/>
        </w:rPr>
        <w:footnoteRef/>
      </w:r>
      <w:r>
        <w:t xml:space="preserve"> </w:t>
      </w:r>
      <w:r w:rsidRPr="00B4576A">
        <w:t>If PROSPECT is unavailable, the IT support can also be reached via email: EuropeAid-IT-support@ec.europa.eu</w:t>
      </w:r>
    </w:p>
    <w:p w14:paraId="468E29F8" w14:textId="77777777" w:rsidR="003F07E0" w:rsidRPr="00B4576A" w:rsidRDefault="003F07E0">
      <w:pPr>
        <w:pStyle w:val="FootnoteText"/>
      </w:pPr>
    </w:p>
  </w:footnote>
  <w:footnote w:id="5">
    <w:p w14:paraId="7D9B8DC1" w14:textId="73918304" w:rsidR="003F07E0" w:rsidRPr="000D73E5" w:rsidRDefault="003F07E0">
      <w:pPr>
        <w:pStyle w:val="FootnoteText"/>
      </w:pPr>
      <w:r>
        <w:rPr>
          <w:rStyle w:val="FootnoteReference"/>
        </w:rPr>
        <w:footnoteRef/>
      </w:r>
      <w:r>
        <w:t xml:space="preserve"> </w:t>
      </w:r>
      <w:r w:rsidRPr="00A6469E">
        <w:t>http://www.consilium.europa.eu/en/press/press-releases/2017/05/19-european-consensus-on-development/</w:t>
      </w:r>
    </w:p>
  </w:footnote>
  <w:footnote w:id="6">
    <w:p w14:paraId="4D1AC8A3" w14:textId="687BD836" w:rsidR="003F07E0" w:rsidRPr="003776DD" w:rsidRDefault="003F07E0">
      <w:pPr>
        <w:pStyle w:val="FootnoteText"/>
      </w:pPr>
      <w:r>
        <w:rPr>
          <w:rStyle w:val="FootnoteReference"/>
        </w:rPr>
        <w:footnoteRef/>
      </w:r>
      <w:r>
        <w:t xml:space="preserve"> </w:t>
      </w:r>
      <w:r w:rsidRPr="003776DD">
        <w:t>https://ec.europa.eu/europeaid/informal-exchange-brussels-based-civil-society-platforms-2017-eidhr-global-call-proposals_en</w:t>
      </w:r>
    </w:p>
  </w:footnote>
  <w:footnote w:id="7">
    <w:p w14:paraId="668A2B8C" w14:textId="4C8430E1" w:rsidR="003F07E0" w:rsidRPr="00D84647" w:rsidRDefault="003F07E0">
      <w:pPr>
        <w:pStyle w:val="FootnoteText"/>
      </w:pPr>
      <w:r>
        <w:rPr>
          <w:rStyle w:val="FootnoteReference"/>
        </w:rPr>
        <w:footnoteRef/>
      </w:r>
      <w:r>
        <w:t xml:space="preserve"> </w:t>
      </w:r>
      <w:r w:rsidRPr="00D84647">
        <w:t>http://www.eidhr.eu/files/dmfile/EIDHR.2014-2020.pdf</w:t>
      </w:r>
    </w:p>
  </w:footnote>
  <w:footnote w:id="8">
    <w:p w14:paraId="33D97B1E" w14:textId="26DF86C8" w:rsidR="003F07E0" w:rsidRPr="00682EFC" w:rsidRDefault="003F07E0" w:rsidP="00342AFB">
      <w:pPr>
        <w:pStyle w:val="FootnoteText"/>
        <w:ind w:left="0" w:firstLine="0"/>
      </w:pPr>
      <w:r>
        <w:rPr>
          <w:rStyle w:val="FootnoteReference"/>
        </w:rPr>
        <w:footnoteRef/>
      </w:r>
      <w:r w:rsidRPr="00682EFC">
        <w:t>http://hrbaportal.org/the-human-rights-based-approach-to-development-cooperation-towards-a-common-understanding-among-un-agencies</w:t>
      </w:r>
    </w:p>
  </w:footnote>
  <w:footnote w:id="9">
    <w:p w14:paraId="116CEB47" w14:textId="6DD0A9A3" w:rsidR="003F07E0" w:rsidRPr="00CE6C48" w:rsidRDefault="003F07E0">
      <w:pPr>
        <w:pStyle w:val="FootnoteText"/>
      </w:pPr>
      <w:r>
        <w:rPr>
          <w:rStyle w:val="FootnoteReference"/>
        </w:rPr>
        <w:footnoteRef/>
      </w:r>
      <w:r>
        <w:t xml:space="preserve"> </w:t>
      </w:r>
      <w:r w:rsidRPr="00CE6C48">
        <w:t>http://hrbaportal.org/faq</w:t>
      </w:r>
    </w:p>
  </w:footnote>
  <w:footnote w:id="10">
    <w:p w14:paraId="34E9EF49" w14:textId="77777777" w:rsidR="003F07E0" w:rsidRPr="00BB3122" w:rsidRDefault="003F07E0" w:rsidP="00256BCD">
      <w:pPr>
        <w:pStyle w:val="FootnoteText"/>
        <w:ind w:left="0" w:firstLine="0"/>
      </w:pPr>
      <w:r>
        <w:rPr>
          <w:rStyle w:val="FootnoteReference"/>
        </w:rPr>
        <w:footnoteRef/>
      </w:r>
      <w:r>
        <w:t xml:space="preserve"> </w:t>
      </w:r>
      <w:r w:rsidRPr="00BB3122">
        <w:t>In line with the UN Convention on the Rights of Persons with Disabilities to which the European Union is a party, EU development cooperation programmes must be inclusive of and accessible to person</w:t>
      </w:r>
      <w:r>
        <w:t xml:space="preserve">s with disabilities. Therefore, </w:t>
      </w:r>
      <w:r w:rsidRPr="00BB3122">
        <w:t>proposals should explicitly indicate how the rights of persons with disabilities will be taken into account</w:t>
      </w:r>
    </w:p>
  </w:footnote>
  <w:footnote w:id="11">
    <w:p w14:paraId="5631C78B" w14:textId="463AD1F6" w:rsidR="003F07E0" w:rsidRPr="00145B2A" w:rsidRDefault="003F07E0" w:rsidP="00256BCD">
      <w:pPr>
        <w:pStyle w:val="FootnoteText"/>
        <w:ind w:left="0" w:firstLine="0"/>
      </w:pPr>
      <w:r>
        <w:rPr>
          <w:rStyle w:val="FootnoteReference"/>
        </w:rPr>
        <w:footnoteRef/>
      </w:r>
      <w:r>
        <w:t xml:space="preserve"> </w:t>
      </w:r>
      <w:r w:rsidRPr="00145B2A">
        <w:t>Gender equality constitutes a fundamental human rights principle and a common value of the European Union (EU Treaties, EU Gender Action Plan 2016-2020). Each selected proposal will have to report against relevant "SMART"  sex-disaggregated indicators mentioned in the EU Gender Action Plan 2016-2020  (especially priority D: "Political and civil rights", Indicators 17.1 and following; e.g. number of women Human Rights Defenders having received support)</w:t>
      </w:r>
    </w:p>
  </w:footnote>
  <w:footnote w:id="12">
    <w:p w14:paraId="26574C0F" w14:textId="7844AAF0" w:rsidR="003F07E0" w:rsidRPr="00BB3122" w:rsidRDefault="003F07E0" w:rsidP="00256BCD">
      <w:pPr>
        <w:pStyle w:val="FootnoteText"/>
        <w:ind w:left="0" w:firstLine="0"/>
      </w:pPr>
      <w:r>
        <w:rPr>
          <w:rStyle w:val="FootnoteReference"/>
        </w:rPr>
        <w:footnoteRef/>
      </w:r>
      <w:r>
        <w:t xml:space="preserve"> </w:t>
      </w:r>
      <w:proofErr w:type="gramStart"/>
      <w:r w:rsidRPr="00BB3122">
        <w:t>In line with the principles of the UN Convention on the Rights of the Child</w:t>
      </w:r>
      <w:r>
        <w:t>.</w:t>
      </w:r>
      <w:proofErr w:type="gramEnd"/>
    </w:p>
  </w:footnote>
  <w:footnote w:id="13">
    <w:p w14:paraId="173C9C84" w14:textId="2DAE5D3F" w:rsidR="003F07E0" w:rsidRPr="008C4F38" w:rsidRDefault="003F07E0" w:rsidP="00256BCD">
      <w:pPr>
        <w:pStyle w:val="FootnoteText"/>
        <w:ind w:left="0" w:firstLine="0"/>
      </w:pPr>
      <w:r>
        <w:rPr>
          <w:rStyle w:val="FootnoteReference"/>
        </w:rPr>
        <w:footnoteRef/>
      </w:r>
      <w:r>
        <w:t xml:space="preserve"> </w:t>
      </w:r>
      <w:r w:rsidRPr="008C4F38">
        <w:t>The definition of local organisations is provided under section 2.1.1 (Eligibility of applicants).</w:t>
      </w:r>
    </w:p>
  </w:footnote>
  <w:footnote w:id="14">
    <w:p w14:paraId="0D24C176" w14:textId="4593B6E8" w:rsidR="003F07E0" w:rsidRPr="00D64371" w:rsidRDefault="003F07E0" w:rsidP="00543C7F">
      <w:pPr>
        <w:pStyle w:val="FootnoteText"/>
        <w:jc w:val="left"/>
      </w:pPr>
      <w:r>
        <w:rPr>
          <w:rStyle w:val="FootnoteReference"/>
        </w:rPr>
        <w:footnoteRef/>
      </w:r>
      <w:r>
        <w:t xml:space="preserve"> "Human rights defenders in the context of the Declaration on the Right and Responsibility of Individuals, Groups and Organs of Society to Promote and Protect Universally Recognized Human Rights and Fundamental Freedoms" adopted by the General Assembly on 17 December 2015: </w:t>
      </w:r>
      <w:hyperlink r:id="rId2" w:history="1">
        <w:r w:rsidRPr="00A96EAE">
          <w:rPr>
            <w:rStyle w:val="Hyperlink"/>
          </w:rPr>
          <w:t>http://www.un.org/en/ga/search/view_doc.asp?symbol=A/RES/70/161</w:t>
        </w:r>
      </w:hyperlink>
      <w:r>
        <w:t xml:space="preserve"> </w:t>
      </w:r>
    </w:p>
  </w:footnote>
  <w:footnote w:id="15">
    <w:p w14:paraId="29E34C74" w14:textId="257DF83D" w:rsidR="003F07E0" w:rsidRPr="00D64371" w:rsidRDefault="003F07E0" w:rsidP="00543C7F">
      <w:pPr>
        <w:pStyle w:val="FootnoteText"/>
        <w:jc w:val="left"/>
      </w:pPr>
      <w:r>
        <w:rPr>
          <w:rStyle w:val="FootnoteReference"/>
        </w:rPr>
        <w:footnoteRef/>
      </w:r>
      <w:r>
        <w:t xml:space="preserve"> "Protecting human rights defenders, whether individuals, groups or organs of society, addressing economic, social and cultural rights" adopted 21 March 2016: </w:t>
      </w:r>
      <w:hyperlink r:id="rId3" w:history="1">
        <w:r w:rsidRPr="00A96EAE">
          <w:rPr>
            <w:rStyle w:val="Hyperlink"/>
          </w:rPr>
          <w:t>http://www.un.org/ga/search/view_doc.asp?symbol=A/HRC/31/L.28</w:t>
        </w:r>
      </w:hyperlink>
      <w:r>
        <w:t xml:space="preserve"> </w:t>
      </w:r>
    </w:p>
  </w:footnote>
  <w:footnote w:id="16">
    <w:p w14:paraId="75994563" w14:textId="17AFAF44" w:rsidR="003F07E0" w:rsidRPr="001A6A81" w:rsidRDefault="003F07E0">
      <w:pPr>
        <w:pStyle w:val="FootnoteText"/>
      </w:pPr>
      <w:r>
        <w:rPr>
          <w:rStyle w:val="FootnoteReference"/>
        </w:rPr>
        <w:footnoteRef/>
      </w:r>
      <w:r>
        <w:t xml:space="preserve"> </w:t>
      </w:r>
      <w:r w:rsidRPr="00543C7F">
        <w:t>Front Line Defenders 2016 Annual report</w:t>
      </w:r>
      <w:r>
        <w:t xml:space="preserve">,  </w:t>
      </w:r>
      <w:hyperlink r:id="rId4" w:history="1">
        <w:r w:rsidRPr="00582D53">
          <w:rPr>
            <w:rStyle w:val="Hyperlink"/>
          </w:rPr>
          <w:t>https://www.frontlinedefenders.org/en/resource-publication/2016-annual-report</w:t>
        </w:r>
      </w:hyperlink>
      <w:r>
        <w:t xml:space="preserve"> </w:t>
      </w:r>
    </w:p>
  </w:footnote>
  <w:footnote w:id="17">
    <w:p w14:paraId="2DBFD604" w14:textId="0E3C98D9" w:rsidR="003F07E0" w:rsidRPr="00F13602" w:rsidRDefault="003F07E0" w:rsidP="00522F6C">
      <w:pPr>
        <w:pStyle w:val="FootnoteText"/>
      </w:pPr>
      <w:r>
        <w:rPr>
          <w:rStyle w:val="FootnoteReference"/>
        </w:rPr>
        <w:footnoteRef/>
      </w:r>
      <w:r>
        <w:t xml:space="preserve"> </w:t>
      </w:r>
      <w:proofErr w:type="gramStart"/>
      <w:r>
        <w:t>In particular t</w:t>
      </w:r>
      <w:r w:rsidRPr="00F13602">
        <w:t>he Protocol to Prevent, Suppress and Punish Trafficking in Persons, Especially Women and Children supplementing the 2000 United Nation Convention against Transnational Organized Crime (UNTOC Convention</w:t>
      </w:r>
      <w:r>
        <w:t>.</w:t>
      </w:r>
      <w:proofErr w:type="gramEnd"/>
    </w:p>
  </w:footnote>
  <w:footnote w:id="18">
    <w:p w14:paraId="6EB48B4B" w14:textId="3E464BCD" w:rsidR="003F07E0" w:rsidRPr="00C85EC1" w:rsidRDefault="003F07E0" w:rsidP="00C85EC1">
      <w:pPr>
        <w:pStyle w:val="FootnoteText"/>
      </w:pPr>
      <w:r>
        <w:rPr>
          <w:rStyle w:val="FootnoteReference"/>
        </w:rPr>
        <w:footnoteRef/>
      </w:r>
      <w:r>
        <w:t xml:space="preserve"> Strengthening action to end forced labour, </w:t>
      </w:r>
      <w:r w:rsidRPr="00C85EC1">
        <w:t>International Labour Conference, 103rd Session, 2014</w:t>
      </w:r>
    </w:p>
  </w:footnote>
  <w:footnote w:id="19">
    <w:p w14:paraId="49510D74" w14:textId="1B512B1D" w:rsidR="003F07E0" w:rsidRPr="008678DA" w:rsidRDefault="003F07E0">
      <w:pPr>
        <w:pStyle w:val="FootnoteText"/>
      </w:pPr>
      <w:r>
        <w:rPr>
          <w:rStyle w:val="FootnoteReference"/>
        </w:rPr>
        <w:footnoteRef/>
      </w:r>
      <w:r>
        <w:t xml:space="preserve"> "Hard to see, harder to count – survey guideline to estimate forced labour of adults and children", ILO, 2012</w:t>
      </w:r>
    </w:p>
  </w:footnote>
  <w:footnote w:id="20">
    <w:p w14:paraId="2A2F82C4" w14:textId="5D11AA37" w:rsidR="003F07E0" w:rsidRPr="0021315A" w:rsidRDefault="003F07E0">
      <w:pPr>
        <w:pStyle w:val="FootnoteText"/>
      </w:pPr>
      <w:r>
        <w:rPr>
          <w:rStyle w:val="FootnoteReference"/>
        </w:rPr>
        <w:footnoteRef/>
      </w:r>
      <w:r>
        <w:t xml:space="preserve"> </w:t>
      </w:r>
      <w:r w:rsidRPr="0021315A">
        <w:t>http://www.ilo.org/gb/GBSessions/GB323/pol/WCMS_345631/lang--</w:t>
      </w:r>
      <w:proofErr w:type="spellStart"/>
      <w:r w:rsidRPr="0021315A">
        <w:t>en</w:t>
      </w:r>
      <w:proofErr w:type="spellEnd"/>
      <w:r w:rsidRPr="0021315A">
        <w:t>/index.htm</w:t>
      </w:r>
    </w:p>
  </w:footnote>
  <w:footnote w:id="21">
    <w:p w14:paraId="6D96F556" w14:textId="467DBEE9" w:rsidR="003F07E0" w:rsidRPr="00E91175" w:rsidRDefault="003F07E0">
      <w:pPr>
        <w:pStyle w:val="FootnoteText"/>
      </w:pPr>
      <w:r>
        <w:rPr>
          <w:rStyle w:val="FootnoteReference"/>
        </w:rPr>
        <w:footnoteRef/>
      </w:r>
      <w:r>
        <w:t xml:space="preserve"> This specific objective is not limited to the agriculture and/or forestry sectors.</w:t>
      </w:r>
    </w:p>
  </w:footnote>
  <w:footnote w:id="22">
    <w:p w14:paraId="1E2C4C69" w14:textId="77777777" w:rsidR="003F07E0" w:rsidRPr="001154B3" w:rsidRDefault="003F07E0" w:rsidP="00304AAE">
      <w:pPr>
        <w:pStyle w:val="FootnoteText"/>
        <w:rPr>
          <w:rFonts w:asciiTheme="majorHAnsi" w:hAnsiTheme="majorHAnsi"/>
          <w:sz w:val="16"/>
          <w:szCs w:val="16"/>
        </w:rPr>
      </w:pPr>
      <w:r w:rsidRPr="00684F0E">
        <w:footnoteRef/>
      </w:r>
      <w:r w:rsidRPr="00684F0E">
        <w:t xml:space="preserve"> World report on disability, World Bank WHO, 2011</w:t>
      </w:r>
    </w:p>
  </w:footnote>
  <w:footnote w:id="23">
    <w:p w14:paraId="5B9132C5" w14:textId="77777777" w:rsidR="003F07E0" w:rsidRPr="00361C32" w:rsidRDefault="003F07E0" w:rsidP="00941EA9">
      <w:pPr>
        <w:pStyle w:val="FootnoteText"/>
        <w:ind w:left="0" w:firstLine="0"/>
      </w:pPr>
      <w:r>
        <w:rPr>
          <w:rStyle w:val="FootnoteReference"/>
        </w:rPr>
        <w:footnoteRef/>
      </w:r>
      <w:r>
        <w:t xml:space="preserve"> For practical reasons, the shorter version "freedom of religion or belief" shall be used as reference; however, it shall be considered interchangeable with the longer expression "</w:t>
      </w:r>
      <w:r w:rsidRPr="00361C32">
        <w:t>freedom of thought, conscience and religion or belief</w:t>
      </w:r>
      <w:r>
        <w:t>".</w:t>
      </w:r>
    </w:p>
  </w:footnote>
  <w:footnote w:id="24">
    <w:p w14:paraId="09F79CB0" w14:textId="77777777" w:rsidR="003F07E0" w:rsidRPr="00492F65" w:rsidRDefault="003F07E0" w:rsidP="004451D4">
      <w:pPr>
        <w:pStyle w:val="FootnoteText"/>
      </w:pPr>
      <w:r>
        <w:rPr>
          <w:rStyle w:val="FootnoteReference"/>
        </w:rPr>
        <w:footnoteRef/>
      </w:r>
      <w:r>
        <w:t xml:space="preserve"> </w:t>
      </w:r>
      <w:hyperlink r:id="rId5" w:history="1">
        <w:r w:rsidRPr="003929BD">
          <w:rPr>
            <w:rStyle w:val="Hyperlink"/>
          </w:rPr>
          <w:t>https://www.consilium.europa.eu/uedocs/cms_data/docs/pressdata/EN/foraff/137585.pdf</w:t>
        </w:r>
      </w:hyperlink>
      <w:r>
        <w:t xml:space="preserve">. </w:t>
      </w:r>
    </w:p>
  </w:footnote>
  <w:footnote w:id="25">
    <w:p w14:paraId="74DB2DF3" w14:textId="77777777" w:rsidR="003F07E0" w:rsidRPr="00492F65" w:rsidRDefault="003F07E0" w:rsidP="003351FF">
      <w:pPr>
        <w:pStyle w:val="FootnoteText"/>
        <w:rPr>
          <w:rStyle w:val="Hyperlink"/>
        </w:rPr>
      </w:pPr>
      <w:r>
        <w:rPr>
          <w:rStyle w:val="FootnoteReference"/>
        </w:rPr>
        <w:footnoteRef/>
      </w:r>
      <w:r>
        <w:t xml:space="preserve"> "</w:t>
      </w:r>
      <w:r w:rsidRPr="00492F65">
        <w:t xml:space="preserve">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 </w:t>
      </w:r>
      <w:hyperlink r:id="rId6" w:history="1">
        <w:r w:rsidRPr="00492F65">
          <w:rPr>
            <w:rStyle w:val="Hyperlink"/>
          </w:rPr>
          <w:t>http://www.un.org/en/universal-declaration-human-rights/</w:t>
        </w:r>
      </w:hyperlink>
      <w:r w:rsidRPr="00492F65">
        <w:rPr>
          <w:rStyle w:val="Hyperlink"/>
        </w:rPr>
        <w:t xml:space="preserve"> </w:t>
      </w:r>
    </w:p>
  </w:footnote>
  <w:footnote w:id="26">
    <w:p w14:paraId="177EBA31" w14:textId="088C1608" w:rsidR="003F07E0" w:rsidRPr="00492F65" w:rsidRDefault="003F07E0" w:rsidP="003351FF">
      <w:pPr>
        <w:pStyle w:val="FootnoteText"/>
        <w:ind w:left="0" w:firstLine="0"/>
        <w:rPr>
          <w:rStyle w:val="FootnoteReference"/>
        </w:rPr>
      </w:pPr>
      <w:r w:rsidRPr="00492F65">
        <w:rPr>
          <w:rStyle w:val="FootnoteReference"/>
        </w:rPr>
        <w:footnoteRef/>
      </w:r>
      <w:r>
        <w:rPr>
          <w:rStyle w:val="FootnoteReference"/>
        </w:rPr>
        <w:t xml:space="preserve"> </w:t>
      </w:r>
      <w:hyperlink r:id="rId7" w:history="1">
        <w:r w:rsidRPr="00A96EAE">
          <w:rPr>
            <w:rStyle w:val="Hyperlink"/>
          </w:rPr>
          <w:t>http://tbinternet.ohchr.org/_layouts/treatybodyexternal/Download.aspx?symbolno=CCPR%2fC%2f21%2fRev.1</w:t>
        </w:r>
        <w:r w:rsidRPr="00A96EAE">
          <w:rPr>
            <w:rStyle w:val="Hyperlink"/>
          </w:rPr>
          <w:br/>
          <w:t>%2fAdd.4&amp;Lang=</w:t>
        </w:r>
        <w:proofErr w:type="spellStart"/>
        <w:r w:rsidRPr="00A96EAE">
          <w:rPr>
            <w:rStyle w:val="Hyperlink"/>
          </w:rPr>
          <w:t>en</w:t>
        </w:r>
        <w:proofErr w:type="spellEnd"/>
      </w:hyperlink>
      <w:r>
        <w:t xml:space="preserve">. </w:t>
      </w:r>
    </w:p>
  </w:footnote>
  <w:footnote w:id="27">
    <w:p w14:paraId="73B9A777" w14:textId="77777777" w:rsidR="003F07E0" w:rsidRPr="00492F65" w:rsidRDefault="003F07E0" w:rsidP="003351FF">
      <w:pPr>
        <w:pStyle w:val="FootnoteText"/>
      </w:pPr>
      <w:r>
        <w:rPr>
          <w:rStyle w:val="FootnoteReference"/>
        </w:rPr>
        <w:footnoteRef/>
      </w:r>
      <w:r>
        <w:t xml:space="preserve"> </w:t>
      </w:r>
      <w:hyperlink r:id="rId8" w:history="1">
        <w:r w:rsidRPr="003929BD">
          <w:rPr>
            <w:rStyle w:val="Hyperlink"/>
          </w:rPr>
          <w:t>https://eeas.europa.eu/sites/eeas/files/eu_action_plan_on_human_rights_and_democracy_en_2.pdf</w:t>
        </w:r>
      </w:hyperlink>
      <w:r>
        <w:t xml:space="preserve">. </w:t>
      </w:r>
    </w:p>
  </w:footnote>
  <w:footnote w:id="28">
    <w:p w14:paraId="65D69C8D" w14:textId="3DB10D42" w:rsidR="003F07E0" w:rsidRPr="000A1B6E" w:rsidRDefault="003F07E0">
      <w:pPr>
        <w:pStyle w:val="FootnoteText"/>
      </w:pPr>
      <w:r>
        <w:rPr>
          <w:rStyle w:val="FootnoteReference"/>
        </w:rPr>
        <w:footnoteRef/>
      </w:r>
      <w:r>
        <w:t xml:space="preserve"> </w:t>
      </w:r>
      <w:hyperlink r:id="rId9" w:history="1">
        <w:r w:rsidRPr="003929BD">
          <w:rPr>
            <w:rStyle w:val="Hyperlink"/>
          </w:rPr>
          <w:t>http://www.un.org/en/preventgenocide/adviser/pdf/Rabat_draft_outcome.pdf</w:t>
        </w:r>
      </w:hyperlink>
      <w:r>
        <w:t xml:space="preserve">. </w:t>
      </w:r>
    </w:p>
  </w:footnote>
  <w:footnote w:id="29">
    <w:p w14:paraId="3D71D2DB" w14:textId="77777777" w:rsidR="003F07E0" w:rsidRDefault="003F07E0" w:rsidP="00CD6F5A">
      <w:pPr>
        <w:pStyle w:val="FootnoteText"/>
      </w:pPr>
      <w:r w:rsidRPr="00EC6040">
        <w:rPr>
          <w:sz w:val="18"/>
          <w:szCs w:val="18"/>
        </w:rPr>
        <w:footnoteRef/>
      </w:r>
      <w:r w:rsidRPr="00EC6040">
        <w:rPr>
          <w:sz w:val="18"/>
          <w:szCs w:val="18"/>
        </w:rPr>
        <w:tab/>
        <w:t>Where a grant is financed by the European Development Fund, any mention of European Union financing must be understood as referring to European Development Fund financing.</w:t>
      </w:r>
    </w:p>
  </w:footnote>
  <w:footnote w:id="30">
    <w:p w14:paraId="63636CA7" w14:textId="49A0E8F2" w:rsidR="003F07E0" w:rsidRPr="00CD6F5A" w:rsidRDefault="003F07E0">
      <w:pPr>
        <w:pStyle w:val="FootnoteText"/>
      </w:pPr>
      <w:r>
        <w:rPr>
          <w:rStyle w:val="FootnoteReference"/>
        </w:rPr>
        <w:footnoteRef/>
      </w:r>
      <w:r>
        <w:t xml:space="preserve"> </w:t>
      </w:r>
      <w:r w:rsidRPr="00DD3844">
        <w:t>Grant applications may be eligible if submitted by entities which do not have legal personality under the applicable national law, on the condition that the representatives of that applicant can prove that they have the capacity to undertake legal obligations on behalf of the applicant, and that they offer financial and operational guarantees equivalent to those provided by legal persons</w:t>
      </w:r>
      <w:r w:rsidRPr="00CC432F">
        <w:t>.</w:t>
      </w:r>
      <w:r>
        <w:t xml:space="preserve"> Non-registered organisations are </w:t>
      </w:r>
      <w:r w:rsidRPr="00E90EEB">
        <w:t>entit</w:t>
      </w:r>
      <w:r>
        <w:t>ies</w:t>
      </w:r>
      <w:r w:rsidRPr="00E90EEB">
        <w:t xml:space="preserve"> without legal personality</w:t>
      </w:r>
    </w:p>
  </w:footnote>
  <w:footnote w:id="31">
    <w:p w14:paraId="61430E9E" w14:textId="633FB89D" w:rsidR="003F07E0" w:rsidRPr="00455615" w:rsidRDefault="003F07E0">
      <w:pPr>
        <w:pStyle w:val="FootnoteText"/>
      </w:pPr>
      <w:r>
        <w:rPr>
          <w:rStyle w:val="FootnoteReference"/>
        </w:rPr>
        <w:footnoteRef/>
      </w:r>
      <w:r>
        <w:t xml:space="preserve"> The </w:t>
      </w:r>
      <w:r w:rsidRPr="00455615">
        <w:t xml:space="preserve">EU considers CSOs to include all non-State, not-for-profit structures, non-partisan and non-violent, through which people organise to pursue shared objectives and ideals, whether political, cultural, social or economic. Operating from the local to the national, regional and international levels, they comprise urban and rural, formal and informal organisations. They include membership-based, cause-based and service-oriented CSOs. Among them, community-based organisations, non-governmental organisations, faith-based organisations, foundations, research institutions, Gender and LGBT organisations, cooperatives, professional and business associations, and the not-for-profit media. (Source: Commission Communication </w:t>
      </w:r>
      <w:proofErr w:type="gramStart"/>
      <w:r w:rsidRPr="00455615">
        <w:t>COM(</w:t>
      </w:r>
      <w:proofErr w:type="gramEnd"/>
      <w:r w:rsidRPr="00455615">
        <w:t>2012)0492</w:t>
      </w:r>
      <w:r>
        <w:t>,</w:t>
      </w:r>
      <w:r w:rsidRPr="00455615">
        <w:t xml:space="preserve"> The roots of democracy and sustainable development: Europe's engagement with Civil Society).</w:t>
      </w:r>
    </w:p>
  </w:footnote>
  <w:footnote w:id="32">
    <w:p w14:paraId="346ACD59" w14:textId="6C9D40F6" w:rsidR="003F07E0" w:rsidRPr="002469D0" w:rsidRDefault="003F07E0">
      <w:pPr>
        <w:pStyle w:val="FootnoteText"/>
      </w:pPr>
      <w:r>
        <w:rPr>
          <w:rStyle w:val="FootnoteReference"/>
        </w:rPr>
        <w:footnoteRef/>
      </w:r>
      <w:r>
        <w:t xml:space="preserve"> P</w:t>
      </w:r>
      <w:r w:rsidRPr="002469D0">
        <w:t xml:space="preserve">lease refer to the paragraph on situations where registration in the concerned country is made impossible or might put the applicant or co-applicant in danger.  </w:t>
      </w:r>
    </w:p>
  </w:footnote>
  <w:footnote w:id="33">
    <w:p w14:paraId="1B4F54D7" w14:textId="77777777" w:rsidR="003F07E0" w:rsidRDefault="003F07E0" w:rsidP="0040358C">
      <w:pPr>
        <w:pStyle w:val="FootnoteText"/>
      </w:pPr>
      <w:r>
        <w:footnoteRef/>
      </w:r>
      <w:r>
        <w:tab/>
      </w:r>
      <w:r w:rsidRPr="00DE4085">
        <w:t>Examples</w:t>
      </w:r>
      <w:proofErr w:type="gramStart"/>
      <w:r>
        <w:t>:</w:t>
      </w:r>
      <w:r w:rsidRPr="00DE4085">
        <w:t>-</w:t>
      </w:r>
      <w:proofErr w:type="gramEnd"/>
      <w:r w:rsidRPr="00DE4085">
        <w:t xml:space="preserve"> for staff costs: number of hours or days of work * hourly or daily rate pre-set according to the category of personnel concerned;- for travel expenses: distance in km * pre-set cost of transport per km; number of days * daily allowance pre-set according to the country;- for specific costs arising from the organization of an event: number of participants at the event * pre-set total cost per participant</w:t>
      </w:r>
      <w:r>
        <w:t xml:space="preserve"> etc</w:t>
      </w:r>
      <w:r w:rsidRPr="00DE4085">
        <w:t>.</w:t>
      </w:r>
    </w:p>
  </w:footnote>
  <w:footnote w:id="34">
    <w:p w14:paraId="4D767294" w14:textId="77777777" w:rsidR="003F07E0" w:rsidRDefault="003F07E0">
      <w:pPr>
        <w:pStyle w:val="FootnoteText"/>
      </w:pPr>
      <w:r>
        <w:rPr>
          <w:rStyle w:val="FootnoteReference"/>
        </w:rPr>
        <w:footnoteRef/>
      </w:r>
      <w:r>
        <w:t xml:space="preserve"> </w:t>
      </w:r>
      <w:r w:rsidRPr="007904B1">
        <w:t xml:space="preserve">Natural persons who apply for a grant (if so allowed in the guidelines for applicants) do not </w:t>
      </w:r>
      <w:r>
        <w:t xml:space="preserve">have to </w:t>
      </w:r>
      <w:r w:rsidRPr="007904B1">
        <w:t xml:space="preserve">register in PADOR. </w:t>
      </w:r>
      <w:r>
        <w:t xml:space="preserve">In this case, the information included in PROSPECT and the grant application form is sufficient. </w:t>
      </w:r>
    </w:p>
  </w:footnote>
  <w:footnote w:id="35">
    <w:p w14:paraId="541673A0" w14:textId="77777777" w:rsidR="003F07E0" w:rsidRDefault="003F07E0" w:rsidP="0040358C">
      <w:pPr>
        <w:pStyle w:val="FootnoteText"/>
      </w:pPr>
      <w:r w:rsidRPr="00A016F9">
        <w:footnoteRef/>
      </w:r>
      <w:r w:rsidRPr="00A016F9">
        <w:tab/>
      </w:r>
      <w:proofErr w:type="gramStart"/>
      <w:r w:rsidRPr="00A016F9">
        <w:t xml:space="preserve">Which corresponds to </w:t>
      </w:r>
      <w:r>
        <w:t>s</w:t>
      </w:r>
      <w:r w:rsidRPr="00A016F9">
        <w:t xml:space="preserve">ections 3 and 4 of the </w:t>
      </w:r>
      <w:r>
        <w:t xml:space="preserve">full </w:t>
      </w:r>
      <w:r w:rsidRPr="00A016F9">
        <w:t>application form</w:t>
      </w:r>
      <w:r>
        <w:t xml:space="preserve"> – Annex A.2</w:t>
      </w:r>
      <w:r w:rsidRPr="00A016F9">
        <w:t>.</w:t>
      </w:r>
      <w:proofErr w:type="gramEnd"/>
    </w:p>
  </w:footnote>
  <w:footnote w:id="36">
    <w:p w14:paraId="7C5EB57C" w14:textId="77777777" w:rsidR="003F07E0" w:rsidRDefault="003F07E0">
      <w:pPr>
        <w:pStyle w:val="FootnoteText"/>
      </w:pPr>
      <w:r>
        <w:rPr>
          <w:rStyle w:val="FootnoteReference"/>
        </w:rPr>
        <w:footnoteRef/>
      </w:r>
      <w:r>
        <w:t xml:space="preserve"> The grant application form consists of Annex A.1 – concept note and Annex A.2 – full application form.</w:t>
      </w:r>
    </w:p>
  </w:footnote>
  <w:footnote w:id="37">
    <w:p w14:paraId="657757C5" w14:textId="77777777" w:rsidR="003F07E0" w:rsidRDefault="003F07E0" w:rsidP="005D0288">
      <w:pPr>
        <w:pStyle w:val="FootnoteText"/>
        <w:ind w:left="0" w:firstLine="0"/>
      </w:pPr>
      <w:r>
        <w:rPr>
          <w:rStyle w:val="FootnoteReference"/>
        </w:rPr>
        <w:footnoteRef/>
      </w:r>
      <w:r>
        <w:t xml:space="preserve"> </w:t>
      </w:r>
      <w:proofErr w:type="gramStart"/>
      <w:r>
        <w:t>Which corresponds to sections 3 and 4 of the full application form – Annex A.2.</w:t>
      </w:r>
      <w:proofErr w:type="gramEnd"/>
    </w:p>
  </w:footnote>
  <w:footnote w:id="38">
    <w:p w14:paraId="76BFE295" w14:textId="77777777" w:rsidR="003F07E0" w:rsidRDefault="003F07E0" w:rsidP="005D0288">
      <w:pPr>
        <w:pStyle w:val="FootnoteText"/>
      </w:pPr>
      <w:r>
        <w:rPr>
          <w:rStyle w:val="FootnoteReference"/>
        </w:rPr>
        <w:footnoteRef/>
      </w:r>
      <w:r>
        <w:t xml:space="preserve"> </w:t>
      </w:r>
      <w:r>
        <w:rPr>
          <w:lang w:val="en-US"/>
        </w:rPr>
        <w:t xml:space="preserve">For example: </w:t>
      </w:r>
      <w:hyperlink r:id="rId10" w:history="1">
        <w:r w:rsidRPr="008807BD">
          <w:rPr>
            <w:rStyle w:val="Hyperlink"/>
            <w:lang w:val="en-US"/>
          </w:rPr>
          <w:t>http://www.timeanddate.com/worldclock/converter.html</w:t>
        </w:r>
      </w:hyperlink>
      <w:r>
        <w:rPr>
          <w:lang w:val="en-US"/>
        </w:rPr>
        <w:t>.</w:t>
      </w:r>
    </w:p>
  </w:footnote>
  <w:footnote w:id="39">
    <w:p w14:paraId="3A64784C" w14:textId="77777777" w:rsidR="003F07E0" w:rsidRDefault="003F07E0" w:rsidP="005D0288">
      <w:pPr>
        <w:pStyle w:val="FootnoteText"/>
      </w:pPr>
      <w:r w:rsidRPr="00B8161E">
        <w:rPr>
          <w:rStyle w:val="FootnoteReference"/>
        </w:rPr>
        <w:footnoteRef/>
      </w:r>
      <w:r w:rsidRPr="00B8161E">
        <w:t xml:space="preserve"> Please use an online time converter tool, such as the one presented in the footnote above.</w:t>
      </w:r>
    </w:p>
  </w:footnote>
  <w:footnote w:id="40">
    <w:p w14:paraId="37FD910C" w14:textId="77777777" w:rsidR="003F07E0" w:rsidRDefault="003F07E0">
      <w:pPr>
        <w:pStyle w:val="FootnoteText"/>
      </w:pPr>
      <w:r>
        <w:rPr>
          <w:rStyle w:val="FootnoteReference"/>
        </w:rPr>
        <w:footnoteRef/>
      </w:r>
      <w:r>
        <w:t xml:space="preserve"> </w:t>
      </w:r>
      <w:proofErr w:type="gramStart"/>
      <w:r w:rsidRPr="007904B1">
        <w:t xml:space="preserve">Only where </w:t>
      </w:r>
      <w:r>
        <w:t xml:space="preserve">some </w:t>
      </w:r>
      <w:r w:rsidRPr="007904B1">
        <w:t xml:space="preserve">applications </w:t>
      </w:r>
      <w:r>
        <w:t>have been submitted offline</w:t>
      </w:r>
      <w:r w:rsidRPr="007904B1">
        <w:t>.</w:t>
      </w:r>
      <w:proofErr w:type="gramEnd"/>
    </w:p>
  </w:footnote>
  <w:footnote w:id="41">
    <w:p w14:paraId="15B23B73" w14:textId="77777777" w:rsidR="003F07E0" w:rsidRDefault="003F07E0">
      <w:pPr>
        <w:pStyle w:val="FootnoteText"/>
      </w:pPr>
      <w:r>
        <w:rPr>
          <w:rStyle w:val="FootnoteReference"/>
        </w:rPr>
        <w:footnoteRef/>
      </w:r>
      <w:r>
        <w:t xml:space="preserve"> </w:t>
      </w:r>
      <w:proofErr w:type="gramStart"/>
      <w:r w:rsidRPr="00DA6A9D">
        <w:t xml:space="preserve">Only where </w:t>
      </w:r>
      <w:r>
        <w:t xml:space="preserve">some </w:t>
      </w:r>
      <w:r w:rsidRPr="00DA6A9D">
        <w:t xml:space="preserve">applications </w:t>
      </w:r>
      <w:r>
        <w:t>have been submitted offline</w:t>
      </w:r>
      <w:r w:rsidRPr="00DA6A9D">
        <w:t>.</w:t>
      </w:r>
      <w:proofErr w:type="gramEnd"/>
    </w:p>
  </w:footnote>
  <w:footnote w:id="42">
    <w:p w14:paraId="719F6631" w14:textId="77777777" w:rsidR="003F07E0" w:rsidRDefault="003F07E0">
      <w:pPr>
        <w:pStyle w:val="FootnoteText"/>
      </w:pPr>
      <w:r>
        <w:rPr>
          <w:rStyle w:val="FootnoteReference"/>
        </w:rPr>
        <w:footnoteRef/>
      </w:r>
      <w:r>
        <w:t xml:space="preserve"> Note that the relevance may be re-evaluated in the cases described in sections 6.5.7 and 6.5.8. </w:t>
      </w:r>
      <w:proofErr w:type="gramStart"/>
      <w:r>
        <w:t>of</w:t>
      </w:r>
      <w:proofErr w:type="gramEnd"/>
      <w:r>
        <w:t xml:space="preserve"> the Practical Guide.</w:t>
      </w:r>
    </w:p>
  </w:footnote>
  <w:footnote w:id="43">
    <w:p w14:paraId="0C6FA0CB" w14:textId="6EAA0437" w:rsidR="003F07E0" w:rsidRPr="004B1C67" w:rsidRDefault="003F07E0">
      <w:pPr>
        <w:pStyle w:val="FootnoteText"/>
      </w:pPr>
      <w:r>
        <w:rPr>
          <w:rStyle w:val="FootnoteReference"/>
        </w:rPr>
        <w:footnoteRef/>
      </w:r>
      <w:r w:rsidRPr="0019055C">
        <w:rPr>
          <w:b/>
        </w:rPr>
        <w:t xml:space="preserve"> It is strongly suggested to applicants and all co-applicants to upload recent financial summaries (annual reports and audits) in PADOR. These documents will be essential to assess the financial capacity.</w:t>
      </w:r>
    </w:p>
  </w:footnote>
  <w:footnote w:id="44">
    <w:p w14:paraId="0B206795" w14:textId="77777777" w:rsidR="003F07E0" w:rsidRDefault="003F07E0" w:rsidP="00F93423">
      <w:pPr>
        <w:pStyle w:val="FootnoteText"/>
      </w:pPr>
      <w:r w:rsidRPr="00A016F9">
        <w:footnoteRef/>
      </w:r>
      <w:r w:rsidRPr="00A016F9">
        <w:tab/>
        <w:t xml:space="preserve">No supporting document will be requested for applications for a grant not exceeding EUR </w:t>
      </w:r>
      <w:r>
        <w:t>60000.</w:t>
      </w:r>
    </w:p>
  </w:footnote>
  <w:footnote w:id="45">
    <w:p w14:paraId="75326351" w14:textId="77777777" w:rsidR="003F07E0" w:rsidRDefault="003F07E0" w:rsidP="005700D5">
      <w:pPr>
        <w:pStyle w:val="FootnoteText"/>
      </w:pPr>
      <w:r w:rsidRPr="00A016F9">
        <w:footnoteRef/>
      </w:r>
      <w:r w:rsidRPr="00A016F9">
        <w:tab/>
        <w:t xml:space="preserve">Where </w:t>
      </w:r>
      <w:r>
        <w:t>the lead a</w:t>
      </w:r>
      <w:r w:rsidRPr="00A016F9">
        <w:t xml:space="preserve">pplicant </w:t>
      </w:r>
      <w:r>
        <w:t>and/or a co-applicant(s) and or an</w:t>
      </w:r>
      <w:r w:rsidRPr="00A016F9">
        <w:t xml:space="preserve"> </w:t>
      </w:r>
      <w:r w:rsidRPr="000D40CC">
        <w:t>affilia</w:t>
      </w:r>
      <w:r>
        <w:t xml:space="preserve">ted </w:t>
      </w:r>
      <w:proofErr w:type="gramStart"/>
      <w:r>
        <w:t>entity(</w:t>
      </w:r>
      <w:proofErr w:type="spellStart"/>
      <w:proofErr w:type="gramEnd"/>
      <w:r>
        <w:t>ies</w:t>
      </w:r>
      <w:proofErr w:type="spellEnd"/>
      <w:r>
        <w:t>)</w:t>
      </w:r>
      <w:r w:rsidRPr="000D40CC">
        <w:t xml:space="preserve"> </w:t>
      </w:r>
      <w:r w:rsidRPr="00A016F9">
        <w:t>is a public body created by a law, a copy of the said law must be provided</w:t>
      </w:r>
      <w:r>
        <w:t>.</w:t>
      </w:r>
    </w:p>
  </w:footnote>
  <w:footnote w:id="46">
    <w:p w14:paraId="2919105D" w14:textId="77777777" w:rsidR="003F07E0" w:rsidRDefault="003F07E0" w:rsidP="0040358C">
      <w:pPr>
        <w:pStyle w:val="FootnoteText"/>
      </w:pPr>
      <w:r w:rsidRPr="00A016F9">
        <w:footnoteRef/>
      </w:r>
      <w:r w:rsidRPr="00A016F9">
        <w:tab/>
        <w:t>To be inserted only where the eligibility conditions have not changed from one call for proposals to the other.</w:t>
      </w:r>
    </w:p>
  </w:footnote>
  <w:footnote w:id="47">
    <w:p w14:paraId="419595E1" w14:textId="77777777" w:rsidR="003F07E0" w:rsidRDefault="003F07E0" w:rsidP="0040358C">
      <w:pPr>
        <w:pStyle w:val="FootnoteText"/>
      </w:pPr>
      <w:r>
        <w:footnoteRef/>
      </w:r>
      <w:r>
        <w:t xml:space="preserve"> </w:t>
      </w:r>
      <w:r w:rsidRPr="00FE05D4">
        <w:t>Note that according to the financial regulation</w:t>
      </w:r>
      <w:r w:rsidRPr="00292E73">
        <w:t xml:space="preserve">, </w:t>
      </w:r>
      <w:r>
        <w:t>in direct management, a</w:t>
      </w:r>
      <w:r w:rsidRPr="00292E73">
        <w:t>pplicant</w:t>
      </w:r>
      <w:r>
        <w:t>s must be notified</w:t>
      </w:r>
      <w:r w:rsidRPr="00292E73">
        <w:t xml:space="preserve"> the outcome of the evaluation of their applications within 6 months following the submission deadline of the full application</w:t>
      </w:r>
      <w:r>
        <w:t>.</w:t>
      </w:r>
      <w:r w:rsidRPr="00292E73">
        <w:t xml:space="preserve"> </w:t>
      </w:r>
      <w:r>
        <w:t xml:space="preserve">This time-limit may be exceeded </w:t>
      </w:r>
      <w:r w:rsidRPr="00292E73">
        <w:t>in exceptional cases, in particular for complex actions</w:t>
      </w:r>
      <w:r>
        <w:t xml:space="preserve"> (including m</w:t>
      </w:r>
      <w:r w:rsidRPr="00292E73">
        <w:t>ulti-beneficiary calls</w:t>
      </w:r>
      <w:r>
        <w:t>)</w:t>
      </w:r>
      <w:r w:rsidRPr="00292E73">
        <w:t xml:space="preserve">, large number of proposals or </w:t>
      </w:r>
      <w:r>
        <w:t>in case of</w:t>
      </w:r>
      <w:r w:rsidRPr="00292E73">
        <w:t xml:space="preserve"> delays attributable to the</w:t>
      </w:r>
      <w:r>
        <w:t xml:space="preserve"> </w:t>
      </w:r>
      <w:r w:rsidRPr="00C0414D">
        <w:t>applicants.</w:t>
      </w:r>
      <w:r w:rsidRPr="00292E73">
        <w:t xml:space="preserve"> </w:t>
      </w:r>
    </w:p>
  </w:footnote>
  <w:footnote w:id="48">
    <w:p w14:paraId="22A3A744" w14:textId="77777777" w:rsidR="003F07E0" w:rsidRDefault="003F07E0" w:rsidP="00292E73">
      <w:pPr>
        <w:pStyle w:val="FootnoteText"/>
      </w:pPr>
      <w:r>
        <w:footnoteRef/>
      </w:r>
      <w:r>
        <w:t xml:space="preserve"> </w:t>
      </w:r>
      <w:r w:rsidRPr="00FE05D4">
        <w:t>Note that according to the financial regulation</w:t>
      </w:r>
      <w:r w:rsidRPr="00292E73">
        <w:t xml:space="preserve">, </w:t>
      </w:r>
      <w:r>
        <w:t xml:space="preserve">in direct management </w:t>
      </w:r>
      <w:r w:rsidRPr="00292E73">
        <w:t xml:space="preserve">the grant contract must </w:t>
      </w:r>
      <w:r>
        <w:t>be signed</w:t>
      </w:r>
      <w:r w:rsidRPr="00292E73">
        <w:t xml:space="preserve"> within 3 months </w:t>
      </w:r>
      <w:r>
        <w:t xml:space="preserve">following the notification of the award decision. This time-limit may be exceeded </w:t>
      </w:r>
      <w:r w:rsidRPr="00292E73">
        <w:t>in exceptional cases, in particular for complex actions</w:t>
      </w:r>
      <w:r>
        <w:t xml:space="preserve"> (including m</w:t>
      </w:r>
      <w:r w:rsidRPr="00292E73">
        <w:t>ulti-beneficiary calls</w:t>
      </w:r>
      <w:r>
        <w:t>)</w:t>
      </w:r>
      <w:r w:rsidRPr="00292E73">
        <w:t xml:space="preserve">, large number of proposals or </w:t>
      </w:r>
      <w:r>
        <w:t>in case of</w:t>
      </w:r>
      <w:r w:rsidRPr="00292E73">
        <w:t xml:space="preserve"> delays attributable to the applicants </w:t>
      </w:r>
    </w:p>
  </w:footnote>
  <w:footnote w:id="49">
    <w:p w14:paraId="7B549CF6" w14:textId="77777777" w:rsidR="003F07E0" w:rsidRDefault="003F07E0">
      <w:pPr>
        <w:pStyle w:val="FootnoteText"/>
      </w:pPr>
      <w:r>
        <w:rPr>
          <w:rStyle w:val="FootnoteReference"/>
        </w:rPr>
        <w:footnoteRef/>
      </w:r>
      <w:r>
        <w:t xml:space="preserve"> </w:t>
      </w:r>
      <w:r w:rsidRPr="00C648C9">
        <w:t>These documents should also be published by the Contracting Authority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0FF5C" w14:textId="77777777" w:rsidR="003F07E0" w:rsidRDefault="003F0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809000F"/>
    <w:lvl w:ilvl="0">
      <w:start w:val="1"/>
      <w:numFmt w:val="decimal"/>
      <w:pStyle w:val="ListNumber2Level4"/>
      <w:lvlText w:val="%1."/>
      <w:lvlJc w:val="left"/>
      <w:pPr>
        <w:ind w:left="360" w:hanging="360"/>
      </w:pPr>
      <w:rPr>
        <w:rFonts w:cs="Times New Roman" w:hint="default"/>
      </w:rPr>
    </w:lvl>
  </w:abstractNum>
  <w:abstractNum w:abstractNumId="1">
    <w:nsid w:val="FFFFFF80"/>
    <w:multiLevelType w:val="multilevel"/>
    <w:tmpl w:val="3F84090C"/>
    <w:lvl w:ilvl="0">
      <w:start w:val="1"/>
      <w:numFmt w:val="bullet"/>
      <w:pStyle w:val="Application3"/>
      <w:lvlText w:val=""/>
      <w:lvlJc w:val="left"/>
      <w:pPr>
        <w:tabs>
          <w:tab w:val="num" w:pos="1492"/>
        </w:tabs>
        <w:ind w:left="1492" w:hanging="360"/>
      </w:pPr>
      <w:rPr>
        <w:rFonts w:ascii="Symbol" w:hAnsi="Symbol" w:hint="default"/>
      </w:rPr>
    </w:lvl>
    <w:lvl w:ilvl="1">
      <w:numFmt w:val="decimal"/>
      <w:pStyle w:val="Heading5"/>
      <w:lvlText w:val=""/>
      <w:lvlJc w:val="left"/>
      <w:rPr>
        <w:rFonts w:cs="Times New Roman"/>
      </w:rPr>
    </w:lvl>
    <w:lvl w:ilvl="2">
      <w:numFmt w:val="decimal"/>
      <w:pStyle w:val="Heading6"/>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pStyle w:val="Heading7"/>
      <w:lvlText w:val=""/>
      <w:lvlJc w:val="left"/>
      <w:rPr>
        <w:rFonts w:cs="Times New Roman"/>
      </w:rPr>
    </w:lvl>
    <w:lvl w:ilvl="7">
      <w:numFmt w:val="decimal"/>
      <w:pStyle w:val="Heading8"/>
      <w:lvlText w:val=""/>
      <w:lvlJc w:val="left"/>
      <w:rPr>
        <w:rFonts w:cs="Times New Roman"/>
      </w:rPr>
    </w:lvl>
    <w:lvl w:ilvl="8">
      <w:numFmt w:val="decimal"/>
      <w:pStyle w:val="Heading9"/>
      <w:lvlText w:val=""/>
      <w:lvlJc w:val="left"/>
      <w:rPr>
        <w:rFonts w:cs="Times New Roman"/>
      </w:rPr>
    </w:lvl>
  </w:abstractNum>
  <w:abstractNum w:abstractNumId="2">
    <w:nsid w:val="FFFFFF89"/>
    <w:multiLevelType w:val="singleLevel"/>
    <w:tmpl w:val="87F8D186"/>
    <w:lvl w:ilvl="0">
      <w:start w:val="1"/>
      <w:numFmt w:val="bullet"/>
      <w:pStyle w:val="Heading3"/>
      <w:lvlText w:val=""/>
      <w:lvlJc w:val="left"/>
      <w:pPr>
        <w:tabs>
          <w:tab w:val="num" w:pos="360"/>
        </w:tabs>
        <w:ind w:left="360" w:hanging="360"/>
      </w:pPr>
      <w:rPr>
        <w:rFonts w:ascii="Symbol" w:hAnsi="Symbol" w:hint="default"/>
      </w:rPr>
    </w:lvl>
  </w:abstractNum>
  <w:abstractNum w:abstractNumId="3">
    <w:nsid w:val="000277F1"/>
    <w:multiLevelType w:val="hybridMultilevel"/>
    <w:tmpl w:val="6D62E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5C6D07"/>
    <w:multiLevelType w:val="hybridMultilevel"/>
    <w:tmpl w:val="04CE90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5">
    <w:nsid w:val="01652CCC"/>
    <w:multiLevelType w:val="multilevel"/>
    <w:tmpl w:val="2612E804"/>
    <w:lvl w:ilvl="0">
      <w:start w:val="1"/>
      <w:numFmt w:val="decimal"/>
      <w:pStyle w:val="Guidelines1"/>
      <w:lvlText w:val="%1"/>
      <w:lvlJc w:val="left"/>
      <w:pPr>
        <w:ind w:left="567" w:hanging="567"/>
      </w:pPr>
      <w:rPr>
        <w:rFonts w:ascii="Times New Roman Bold" w:hAnsi="Times New Roman Bold" w:cs="Times New Roman Bold" w:hint="default"/>
        <w:b/>
        <w:i w:val="0"/>
        <w:caps/>
        <w:strike w:val="0"/>
        <w:dstrike w:val="0"/>
        <w:outline w:val="0"/>
        <w:shadow w:val="0"/>
        <w:emboss w:val="0"/>
        <w:imprint w:val="0"/>
        <w:sz w:val="32"/>
        <w:vertAlign w:val="baseline"/>
      </w:rPr>
    </w:lvl>
    <w:lvl w:ilvl="1">
      <w:start w:val="1"/>
      <w:numFmt w:val="decimal"/>
      <w:pStyle w:val="Guidelines2"/>
      <w:lvlText w:val="%1.%2"/>
      <w:lvlJc w:val="left"/>
      <w:pPr>
        <w:ind w:left="567" w:hanging="567"/>
      </w:pPr>
      <w:rPr>
        <w:rFonts w:ascii="Times New Roman Bold" w:hAnsi="Times New Roman Bold" w:cs="Times New Roman Bold" w:hint="default"/>
        <w:b/>
        <w:i w:val="0"/>
        <w:caps w:val="0"/>
        <w:strike w:val="0"/>
        <w:dstrike w:val="0"/>
        <w:outline w:val="0"/>
        <w:shadow w:val="0"/>
        <w:emboss w:val="0"/>
        <w:imprint w:val="0"/>
        <w:vanish w:val="0"/>
        <w:color w:val="000000"/>
        <w:sz w:val="28"/>
        <w:u w:val="none"/>
        <w:vertAlign w:val="baseline"/>
      </w:rPr>
    </w:lvl>
    <w:lvl w:ilvl="2">
      <w:start w:val="1"/>
      <w:numFmt w:val="decimal"/>
      <w:lvlText w:val="%1.%2.%3"/>
      <w:lvlJc w:val="left"/>
      <w:pPr>
        <w:ind w:left="851" w:hanging="851"/>
      </w:pPr>
      <w:rPr>
        <w:rFonts w:ascii="Times New Roman Bold" w:hAnsi="Times New Roman Bold" w:cs="Times New Roman" w:hint="default"/>
        <w:b/>
        <w:i/>
        <w:caps w:val="0"/>
        <w:strike w:val="0"/>
        <w:dstrike w:val="0"/>
        <w:outline w:val="0"/>
        <w:shadow w:val="0"/>
        <w:emboss w:val="0"/>
        <w:imprint w:val="0"/>
        <w:vanish w:val="0"/>
        <w:color w:val="000000"/>
        <w:sz w:val="24"/>
        <w:u w:val="none"/>
        <w:vertAlign w:val="base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6">
    <w:nsid w:val="071739D2"/>
    <w:multiLevelType w:val="multilevel"/>
    <w:tmpl w:val="B79EBA66"/>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71865E9"/>
    <w:multiLevelType w:val="hybridMultilevel"/>
    <w:tmpl w:val="DD4A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73A5A0B"/>
    <w:multiLevelType w:val="hybridMultilevel"/>
    <w:tmpl w:val="E69CA84C"/>
    <w:lvl w:ilvl="0" w:tplc="8F6C9AB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93D2A25"/>
    <w:multiLevelType w:val="hybridMultilevel"/>
    <w:tmpl w:val="1FFA1BAC"/>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C914CD"/>
    <w:multiLevelType w:val="hybridMultilevel"/>
    <w:tmpl w:val="6C2EB8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2039F7"/>
    <w:multiLevelType w:val="hybridMultilevel"/>
    <w:tmpl w:val="AF16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4693DA1"/>
    <w:multiLevelType w:val="hybridMultilevel"/>
    <w:tmpl w:val="16F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B95526"/>
    <w:multiLevelType w:val="hybridMultilevel"/>
    <w:tmpl w:val="6C28A0EE"/>
    <w:lvl w:ilvl="0" w:tplc="08090001">
      <w:start w:val="1"/>
      <w:numFmt w:val="bullet"/>
      <w:lvlText w:val=""/>
      <w:lvlJc w:val="left"/>
      <w:pPr>
        <w:ind w:left="720" w:hanging="360"/>
      </w:pPr>
      <w:rPr>
        <w:rFonts w:ascii="Symbol" w:hAnsi="Symbol" w:hint="default"/>
      </w:rPr>
    </w:lvl>
    <w:lvl w:ilvl="1" w:tplc="76424D66">
      <w:start w:val="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B04C65"/>
    <w:multiLevelType w:val="hybridMultilevel"/>
    <w:tmpl w:val="3348CF04"/>
    <w:lvl w:ilvl="0" w:tplc="9BFCC188">
      <w:start w:val="6"/>
      <w:numFmt w:val="bullet"/>
      <w:lvlText w:val="•"/>
      <w:lvlJc w:val="left"/>
      <w:pPr>
        <w:ind w:left="780" w:hanging="4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410029"/>
    <w:multiLevelType w:val="hybridMultilevel"/>
    <w:tmpl w:val="A532EBE2"/>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nsid w:val="2AFD5D04"/>
    <w:multiLevelType w:val="hybridMultilevel"/>
    <w:tmpl w:val="7B0E2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EBD5698"/>
    <w:multiLevelType w:val="hybridMultilevel"/>
    <w:tmpl w:val="E29400F4"/>
    <w:lvl w:ilvl="0" w:tplc="8FCE5908">
      <w:start w:val="5"/>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nsid w:val="3477742E"/>
    <w:multiLevelType w:val="hybridMultilevel"/>
    <w:tmpl w:val="9558F368"/>
    <w:lvl w:ilvl="0" w:tplc="8D20732E">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6CB4ED0"/>
    <w:multiLevelType w:val="hybridMultilevel"/>
    <w:tmpl w:val="9A0AEB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77413B2"/>
    <w:multiLevelType w:val="hybridMultilevel"/>
    <w:tmpl w:val="A34658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9B3BCD"/>
    <w:multiLevelType w:val="hybridMultilevel"/>
    <w:tmpl w:val="57C216AC"/>
    <w:lvl w:ilvl="0" w:tplc="208620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4288205F"/>
    <w:multiLevelType w:val="hybridMultilevel"/>
    <w:tmpl w:val="3A08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FA7BD0"/>
    <w:multiLevelType w:val="hybridMultilevel"/>
    <w:tmpl w:val="42D09EA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nsid w:val="4662666B"/>
    <w:multiLevelType w:val="hybridMultilevel"/>
    <w:tmpl w:val="BB88C9F2"/>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475F53DC"/>
    <w:multiLevelType w:val="hybridMultilevel"/>
    <w:tmpl w:val="E8E64F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A4C149A"/>
    <w:multiLevelType w:val="hybridMultilevel"/>
    <w:tmpl w:val="2FB0DA8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4AE20DBC"/>
    <w:multiLevelType w:val="hybridMultilevel"/>
    <w:tmpl w:val="2196D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BD44FBD"/>
    <w:multiLevelType w:val="hybridMultilevel"/>
    <w:tmpl w:val="4A12FD18"/>
    <w:lvl w:ilvl="0" w:tplc="91585BAC">
      <w:numFmt w:val="bullet"/>
      <w:lvlText w:val="-"/>
      <w:lvlJc w:val="left"/>
      <w:pPr>
        <w:ind w:left="742" w:hanging="360"/>
      </w:pPr>
      <w:rPr>
        <w:rFonts w:ascii="Times New Roman" w:eastAsia="Times New Roman" w:hAnsi="Times New Roman" w:hint="default"/>
      </w:rPr>
    </w:lvl>
    <w:lvl w:ilvl="1" w:tplc="040C0003">
      <w:start w:val="1"/>
      <w:numFmt w:val="bullet"/>
      <w:lvlText w:val="o"/>
      <w:lvlJc w:val="left"/>
      <w:pPr>
        <w:ind w:left="1462" w:hanging="360"/>
      </w:pPr>
      <w:rPr>
        <w:rFonts w:ascii="Courier New" w:hAnsi="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hint="default"/>
      </w:rPr>
    </w:lvl>
    <w:lvl w:ilvl="8" w:tplc="040C0005">
      <w:start w:val="1"/>
      <w:numFmt w:val="bullet"/>
      <w:lvlText w:val=""/>
      <w:lvlJc w:val="left"/>
      <w:pPr>
        <w:ind w:left="6502" w:hanging="360"/>
      </w:pPr>
      <w:rPr>
        <w:rFonts w:ascii="Wingdings" w:hAnsi="Wingdings" w:hint="default"/>
      </w:rPr>
    </w:lvl>
  </w:abstractNum>
  <w:abstractNum w:abstractNumId="32">
    <w:nsid w:val="4D806F06"/>
    <w:multiLevelType w:val="hybridMultilevel"/>
    <w:tmpl w:val="BF989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2461DC8"/>
    <w:multiLevelType w:val="hybridMultilevel"/>
    <w:tmpl w:val="93409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52567E8E"/>
    <w:multiLevelType w:val="hybridMultilevel"/>
    <w:tmpl w:val="C7024D6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7E419D9"/>
    <w:multiLevelType w:val="multilevel"/>
    <w:tmpl w:val="C9E02B26"/>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59820C6A"/>
    <w:multiLevelType w:val="hybridMultilevel"/>
    <w:tmpl w:val="779646C8"/>
    <w:lvl w:ilvl="0" w:tplc="912018DA">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9E325E84">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5C020071"/>
    <w:multiLevelType w:val="hybridMultilevel"/>
    <w:tmpl w:val="5834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C5C0BE5"/>
    <w:multiLevelType w:val="hybridMultilevel"/>
    <w:tmpl w:val="C6D8D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DE572B5"/>
    <w:multiLevelType w:val="hybridMultilevel"/>
    <w:tmpl w:val="960C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541359"/>
    <w:multiLevelType w:val="hybridMultilevel"/>
    <w:tmpl w:val="C214044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64277BFA"/>
    <w:multiLevelType w:val="hybridMultilevel"/>
    <w:tmpl w:val="F38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CA4A2F"/>
    <w:multiLevelType w:val="hybridMultilevel"/>
    <w:tmpl w:val="6B58A9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7BF6992"/>
    <w:multiLevelType w:val="hybridMultilevel"/>
    <w:tmpl w:val="B2444CB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7C706D3"/>
    <w:multiLevelType w:val="hybridMultilevel"/>
    <w:tmpl w:val="1B500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2573E1F"/>
    <w:multiLevelType w:val="hybridMultilevel"/>
    <w:tmpl w:val="79DC6344"/>
    <w:lvl w:ilvl="0" w:tplc="8FD21838">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0">
    <w:nsid w:val="79032E69"/>
    <w:multiLevelType w:val="hybridMultilevel"/>
    <w:tmpl w:val="37646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nsid w:val="7C370D65"/>
    <w:multiLevelType w:val="hybridMultilevel"/>
    <w:tmpl w:val="0FF0B3B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2">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2"/>
  </w:num>
  <w:num w:numId="9">
    <w:abstractNumId w:val="0"/>
  </w:num>
  <w:num w:numId="10">
    <w:abstractNumId w:val="1"/>
  </w:num>
  <w:num w:numId="11">
    <w:abstractNumId w:val="2"/>
  </w:num>
  <w:num w:numId="12">
    <w:abstractNumId w:val="0"/>
  </w:num>
  <w:num w:numId="13">
    <w:abstractNumId w:val="1"/>
  </w:num>
  <w:num w:numId="14">
    <w:abstractNumId w:val="6"/>
  </w:num>
  <w:num w:numId="15">
    <w:abstractNumId w:val="5"/>
  </w:num>
  <w:num w:numId="16">
    <w:abstractNumId w:val="52"/>
  </w:num>
  <w:num w:numId="17">
    <w:abstractNumId w:val="14"/>
  </w:num>
  <w:num w:numId="18">
    <w:abstractNumId w:val="39"/>
  </w:num>
  <w:num w:numId="19">
    <w:abstractNumId w:val="46"/>
  </w:num>
  <w:num w:numId="20">
    <w:abstractNumId w:val="15"/>
  </w:num>
  <w:num w:numId="21">
    <w:abstractNumId w:val="27"/>
  </w:num>
  <w:num w:numId="22">
    <w:abstractNumId w:val="47"/>
  </w:num>
  <w:num w:numId="23">
    <w:abstractNumId w:val="19"/>
  </w:num>
  <w:num w:numId="24">
    <w:abstractNumId w:val="10"/>
  </w:num>
  <w:num w:numId="25">
    <w:abstractNumId w:val="24"/>
  </w:num>
  <w:num w:numId="26">
    <w:abstractNumId w:val="31"/>
  </w:num>
  <w:num w:numId="27">
    <w:abstractNumId w:val="49"/>
  </w:num>
  <w:num w:numId="28">
    <w:abstractNumId w:val="50"/>
  </w:num>
  <w:num w:numId="29">
    <w:abstractNumId w:val="9"/>
  </w:num>
  <w:num w:numId="30">
    <w:abstractNumId w:val="36"/>
  </w:num>
  <w:num w:numId="31">
    <w:abstractNumId w:val="48"/>
  </w:num>
  <w:num w:numId="32">
    <w:abstractNumId w:val="20"/>
  </w:num>
  <w:num w:numId="33">
    <w:abstractNumId w:val="37"/>
  </w:num>
  <w:num w:numId="34">
    <w:abstractNumId w:val="45"/>
  </w:num>
  <w:num w:numId="35">
    <w:abstractNumId w:val="26"/>
  </w:num>
  <w:num w:numId="36">
    <w:abstractNumId w:val="18"/>
  </w:num>
  <w:num w:numId="37">
    <w:abstractNumId w:val="42"/>
  </w:num>
  <w:num w:numId="38">
    <w:abstractNumId w:val="13"/>
  </w:num>
  <w:num w:numId="39">
    <w:abstractNumId w:val="38"/>
  </w:num>
  <w:num w:numId="40">
    <w:abstractNumId w:val="41"/>
  </w:num>
  <w:num w:numId="41">
    <w:abstractNumId w:val="25"/>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7"/>
  </w:num>
  <w:num w:numId="45">
    <w:abstractNumId w:val="44"/>
  </w:num>
  <w:num w:numId="46">
    <w:abstractNumId w:val="17"/>
  </w:num>
  <w:num w:numId="47">
    <w:abstractNumId w:val="40"/>
  </w:num>
  <w:num w:numId="48">
    <w:abstractNumId w:val="33"/>
  </w:num>
  <w:num w:numId="49">
    <w:abstractNumId w:val="32"/>
  </w:num>
  <w:num w:numId="50">
    <w:abstractNumId w:val="11"/>
  </w:num>
  <w:num w:numId="51">
    <w:abstractNumId w:val="51"/>
  </w:num>
  <w:num w:numId="52">
    <w:abstractNumId w:val="43"/>
  </w:num>
  <w:num w:numId="53">
    <w:abstractNumId w:val="22"/>
  </w:num>
  <w:num w:numId="54">
    <w:abstractNumId w:val="23"/>
  </w:num>
  <w:num w:numId="55">
    <w:abstractNumId w:val="34"/>
  </w:num>
  <w:num w:numId="56">
    <w:abstractNumId w:val="8"/>
  </w:num>
  <w:num w:numId="57">
    <w:abstractNumId w:val="29"/>
  </w:num>
  <w:num w:numId="58">
    <w:abstractNumId w:val="21"/>
  </w:num>
  <w:num w:numId="59">
    <w:abstractNumId w:val="12"/>
  </w:num>
  <w:num w:numId="60">
    <w:abstractNumId w:val="16"/>
  </w:num>
  <w:num w:numId="61">
    <w:abstractNumId w:val="28"/>
  </w:num>
  <w:num w:numId="62">
    <w:abstractNumId w:val="30"/>
  </w:num>
  <w:num w:numId="63">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s>
  <w:rsids>
    <w:rsidRoot w:val="003749B5"/>
    <w:rsid w:val="00000396"/>
    <w:rsid w:val="000015FC"/>
    <w:rsid w:val="00003166"/>
    <w:rsid w:val="00003724"/>
    <w:rsid w:val="000041CE"/>
    <w:rsid w:val="0000587D"/>
    <w:rsid w:val="00005D0E"/>
    <w:rsid w:val="00006318"/>
    <w:rsid w:val="00006721"/>
    <w:rsid w:val="000076B8"/>
    <w:rsid w:val="0001119B"/>
    <w:rsid w:val="0001129D"/>
    <w:rsid w:val="00011765"/>
    <w:rsid w:val="0001251B"/>
    <w:rsid w:val="000127B4"/>
    <w:rsid w:val="00012D9A"/>
    <w:rsid w:val="00013EF5"/>
    <w:rsid w:val="00014188"/>
    <w:rsid w:val="0001462B"/>
    <w:rsid w:val="0001485A"/>
    <w:rsid w:val="00015345"/>
    <w:rsid w:val="000156BF"/>
    <w:rsid w:val="000159A3"/>
    <w:rsid w:val="00016715"/>
    <w:rsid w:val="00017D0C"/>
    <w:rsid w:val="00017DDF"/>
    <w:rsid w:val="00020F51"/>
    <w:rsid w:val="000215D3"/>
    <w:rsid w:val="00021697"/>
    <w:rsid w:val="00021E33"/>
    <w:rsid w:val="00021E81"/>
    <w:rsid w:val="000220E5"/>
    <w:rsid w:val="00023576"/>
    <w:rsid w:val="0002374A"/>
    <w:rsid w:val="0002503B"/>
    <w:rsid w:val="00026D5B"/>
    <w:rsid w:val="0002749A"/>
    <w:rsid w:val="00027881"/>
    <w:rsid w:val="00027C2F"/>
    <w:rsid w:val="00030A89"/>
    <w:rsid w:val="00030E42"/>
    <w:rsid w:val="00031015"/>
    <w:rsid w:val="000312D2"/>
    <w:rsid w:val="00031AD7"/>
    <w:rsid w:val="00031E41"/>
    <w:rsid w:val="00033F4E"/>
    <w:rsid w:val="00034BC8"/>
    <w:rsid w:val="00035B67"/>
    <w:rsid w:val="00035D0D"/>
    <w:rsid w:val="00037341"/>
    <w:rsid w:val="0003772E"/>
    <w:rsid w:val="00040414"/>
    <w:rsid w:val="000405C5"/>
    <w:rsid w:val="000415A0"/>
    <w:rsid w:val="00042967"/>
    <w:rsid w:val="00045E79"/>
    <w:rsid w:val="00046C46"/>
    <w:rsid w:val="0004732F"/>
    <w:rsid w:val="00047C7D"/>
    <w:rsid w:val="00050E48"/>
    <w:rsid w:val="0005133A"/>
    <w:rsid w:val="0005169C"/>
    <w:rsid w:val="000517AD"/>
    <w:rsid w:val="00051AC1"/>
    <w:rsid w:val="00054B49"/>
    <w:rsid w:val="00054CF3"/>
    <w:rsid w:val="00055B7A"/>
    <w:rsid w:val="00056377"/>
    <w:rsid w:val="00056DDD"/>
    <w:rsid w:val="000572EE"/>
    <w:rsid w:val="000573EE"/>
    <w:rsid w:val="000603C3"/>
    <w:rsid w:val="0006044D"/>
    <w:rsid w:val="00060974"/>
    <w:rsid w:val="00061155"/>
    <w:rsid w:val="000616CA"/>
    <w:rsid w:val="00061871"/>
    <w:rsid w:val="000618B3"/>
    <w:rsid w:val="00062A91"/>
    <w:rsid w:val="0006301E"/>
    <w:rsid w:val="00063380"/>
    <w:rsid w:val="000636F3"/>
    <w:rsid w:val="00063782"/>
    <w:rsid w:val="000638B5"/>
    <w:rsid w:val="00063A68"/>
    <w:rsid w:val="00063B9A"/>
    <w:rsid w:val="0006470D"/>
    <w:rsid w:val="0006488E"/>
    <w:rsid w:val="000648BB"/>
    <w:rsid w:val="00064C3B"/>
    <w:rsid w:val="0006505A"/>
    <w:rsid w:val="00065311"/>
    <w:rsid w:val="00065C6A"/>
    <w:rsid w:val="00065F32"/>
    <w:rsid w:val="00067591"/>
    <w:rsid w:val="00067A85"/>
    <w:rsid w:val="00067EAC"/>
    <w:rsid w:val="000734D6"/>
    <w:rsid w:val="000735EC"/>
    <w:rsid w:val="00073CCF"/>
    <w:rsid w:val="0007408E"/>
    <w:rsid w:val="000745FC"/>
    <w:rsid w:val="0007546C"/>
    <w:rsid w:val="000756B5"/>
    <w:rsid w:val="00077BB8"/>
    <w:rsid w:val="00077D95"/>
    <w:rsid w:val="00080430"/>
    <w:rsid w:val="00081B91"/>
    <w:rsid w:val="000842B5"/>
    <w:rsid w:val="00084CB5"/>
    <w:rsid w:val="00085111"/>
    <w:rsid w:val="000852E9"/>
    <w:rsid w:val="0008570E"/>
    <w:rsid w:val="0008672E"/>
    <w:rsid w:val="00087373"/>
    <w:rsid w:val="00090269"/>
    <w:rsid w:val="00090D7D"/>
    <w:rsid w:val="000919FB"/>
    <w:rsid w:val="00092331"/>
    <w:rsid w:val="00092688"/>
    <w:rsid w:val="00093C1F"/>
    <w:rsid w:val="00093DA8"/>
    <w:rsid w:val="00095425"/>
    <w:rsid w:val="0009588C"/>
    <w:rsid w:val="00095C5E"/>
    <w:rsid w:val="0009657A"/>
    <w:rsid w:val="00097064"/>
    <w:rsid w:val="000972BD"/>
    <w:rsid w:val="00097401"/>
    <w:rsid w:val="00097686"/>
    <w:rsid w:val="00097B47"/>
    <w:rsid w:val="00097FB9"/>
    <w:rsid w:val="000A14F7"/>
    <w:rsid w:val="000A1B6E"/>
    <w:rsid w:val="000A2C18"/>
    <w:rsid w:val="000A3C2B"/>
    <w:rsid w:val="000A4055"/>
    <w:rsid w:val="000A4C3B"/>
    <w:rsid w:val="000A51F3"/>
    <w:rsid w:val="000A5F22"/>
    <w:rsid w:val="000A60D9"/>
    <w:rsid w:val="000B071C"/>
    <w:rsid w:val="000B1032"/>
    <w:rsid w:val="000B21CB"/>
    <w:rsid w:val="000B2496"/>
    <w:rsid w:val="000B24FE"/>
    <w:rsid w:val="000B2A3D"/>
    <w:rsid w:val="000B2F46"/>
    <w:rsid w:val="000B327F"/>
    <w:rsid w:val="000B3A3A"/>
    <w:rsid w:val="000B7AC2"/>
    <w:rsid w:val="000C00BF"/>
    <w:rsid w:val="000C024F"/>
    <w:rsid w:val="000C06A5"/>
    <w:rsid w:val="000C06B6"/>
    <w:rsid w:val="000C0AD6"/>
    <w:rsid w:val="000C1624"/>
    <w:rsid w:val="000C183F"/>
    <w:rsid w:val="000C1BF8"/>
    <w:rsid w:val="000C2C90"/>
    <w:rsid w:val="000C4252"/>
    <w:rsid w:val="000C575D"/>
    <w:rsid w:val="000C6140"/>
    <w:rsid w:val="000C6593"/>
    <w:rsid w:val="000D0FA1"/>
    <w:rsid w:val="000D240A"/>
    <w:rsid w:val="000D3DB7"/>
    <w:rsid w:val="000D40CC"/>
    <w:rsid w:val="000D45DA"/>
    <w:rsid w:val="000D56DC"/>
    <w:rsid w:val="000D5F55"/>
    <w:rsid w:val="000D71F0"/>
    <w:rsid w:val="000D73E5"/>
    <w:rsid w:val="000D7566"/>
    <w:rsid w:val="000D773C"/>
    <w:rsid w:val="000E0D57"/>
    <w:rsid w:val="000E123D"/>
    <w:rsid w:val="000E1508"/>
    <w:rsid w:val="000E19B9"/>
    <w:rsid w:val="000E1BEC"/>
    <w:rsid w:val="000E2E9C"/>
    <w:rsid w:val="000E3294"/>
    <w:rsid w:val="000E32B1"/>
    <w:rsid w:val="000E3594"/>
    <w:rsid w:val="000E38CD"/>
    <w:rsid w:val="000E5216"/>
    <w:rsid w:val="000E584E"/>
    <w:rsid w:val="000E5BD3"/>
    <w:rsid w:val="000E76E9"/>
    <w:rsid w:val="000F1735"/>
    <w:rsid w:val="000F197D"/>
    <w:rsid w:val="000F213A"/>
    <w:rsid w:val="000F2165"/>
    <w:rsid w:val="000F22BC"/>
    <w:rsid w:val="000F47D9"/>
    <w:rsid w:val="000F4C9E"/>
    <w:rsid w:val="000F611E"/>
    <w:rsid w:val="000F62AF"/>
    <w:rsid w:val="000F68CC"/>
    <w:rsid w:val="000F6F10"/>
    <w:rsid w:val="000F7405"/>
    <w:rsid w:val="000F7EF5"/>
    <w:rsid w:val="001003C5"/>
    <w:rsid w:val="001007A4"/>
    <w:rsid w:val="00100C6B"/>
    <w:rsid w:val="00100E22"/>
    <w:rsid w:val="00100FAC"/>
    <w:rsid w:val="00101271"/>
    <w:rsid w:val="00101AEE"/>
    <w:rsid w:val="00101B6B"/>
    <w:rsid w:val="00101E54"/>
    <w:rsid w:val="00101FF1"/>
    <w:rsid w:val="001027A3"/>
    <w:rsid w:val="00102BB7"/>
    <w:rsid w:val="00107C6D"/>
    <w:rsid w:val="00107D3D"/>
    <w:rsid w:val="00112E4F"/>
    <w:rsid w:val="00113081"/>
    <w:rsid w:val="0011455E"/>
    <w:rsid w:val="001151FE"/>
    <w:rsid w:val="001152CF"/>
    <w:rsid w:val="0011540A"/>
    <w:rsid w:val="001158D6"/>
    <w:rsid w:val="001162F0"/>
    <w:rsid w:val="001178DC"/>
    <w:rsid w:val="00120A8D"/>
    <w:rsid w:val="00121CA0"/>
    <w:rsid w:val="00122B03"/>
    <w:rsid w:val="001232A6"/>
    <w:rsid w:val="001236BA"/>
    <w:rsid w:val="00124239"/>
    <w:rsid w:val="0012437A"/>
    <w:rsid w:val="00126371"/>
    <w:rsid w:val="00127131"/>
    <w:rsid w:val="0012772C"/>
    <w:rsid w:val="001309F2"/>
    <w:rsid w:val="00130E2C"/>
    <w:rsid w:val="00131405"/>
    <w:rsid w:val="001328CF"/>
    <w:rsid w:val="00132E55"/>
    <w:rsid w:val="001337D5"/>
    <w:rsid w:val="0013435B"/>
    <w:rsid w:val="00135921"/>
    <w:rsid w:val="00136AD0"/>
    <w:rsid w:val="00137D64"/>
    <w:rsid w:val="001421B3"/>
    <w:rsid w:val="001421B6"/>
    <w:rsid w:val="00143B87"/>
    <w:rsid w:val="00143E05"/>
    <w:rsid w:val="001443F1"/>
    <w:rsid w:val="00145B2A"/>
    <w:rsid w:val="00145C8F"/>
    <w:rsid w:val="0014692E"/>
    <w:rsid w:val="00146F1C"/>
    <w:rsid w:val="00147A97"/>
    <w:rsid w:val="00147ECE"/>
    <w:rsid w:val="001507E7"/>
    <w:rsid w:val="001507EF"/>
    <w:rsid w:val="001520BA"/>
    <w:rsid w:val="00152F84"/>
    <w:rsid w:val="0015395B"/>
    <w:rsid w:val="00153C75"/>
    <w:rsid w:val="00153E80"/>
    <w:rsid w:val="00154428"/>
    <w:rsid w:val="00154C34"/>
    <w:rsid w:val="001551F8"/>
    <w:rsid w:val="001554CF"/>
    <w:rsid w:val="0015585A"/>
    <w:rsid w:val="00155E75"/>
    <w:rsid w:val="001561E0"/>
    <w:rsid w:val="001566CE"/>
    <w:rsid w:val="00156ED0"/>
    <w:rsid w:val="00157648"/>
    <w:rsid w:val="001606C0"/>
    <w:rsid w:val="00160781"/>
    <w:rsid w:val="00160B36"/>
    <w:rsid w:val="00161AC7"/>
    <w:rsid w:val="00161C69"/>
    <w:rsid w:val="001633D8"/>
    <w:rsid w:val="001640CB"/>
    <w:rsid w:val="00164750"/>
    <w:rsid w:val="00164CBF"/>
    <w:rsid w:val="00165188"/>
    <w:rsid w:val="00165323"/>
    <w:rsid w:val="00165D2B"/>
    <w:rsid w:val="00165EB2"/>
    <w:rsid w:val="001664B1"/>
    <w:rsid w:val="001666E3"/>
    <w:rsid w:val="00167211"/>
    <w:rsid w:val="001675B5"/>
    <w:rsid w:val="00167D43"/>
    <w:rsid w:val="00170827"/>
    <w:rsid w:val="00172079"/>
    <w:rsid w:val="00173C10"/>
    <w:rsid w:val="00175DE7"/>
    <w:rsid w:val="00175F1E"/>
    <w:rsid w:val="0017615B"/>
    <w:rsid w:val="001761E7"/>
    <w:rsid w:val="00176719"/>
    <w:rsid w:val="00176C8C"/>
    <w:rsid w:val="00176D1C"/>
    <w:rsid w:val="00176FB1"/>
    <w:rsid w:val="0017762C"/>
    <w:rsid w:val="00180523"/>
    <w:rsid w:val="001817FD"/>
    <w:rsid w:val="00181D7A"/>
    <w:rsid w:val="001848C3"/>
    <w:rsid w:val="00184AA4"/>
    <w:rsid w:val="00184E11"/>
    <w:rsid w:val="001851C2"/>
    <w:rsid w:val="00185628"/>
    <w:rsid w:val="00186F64"/>
    <w:rsid w:val="001870D3"/>
    <w:rsid w:val="0019055C"/>
    <w:rsid w:val="00190A83"/>
    <w:rsid w:val="00192503"/>
    <w:rsid w:val="0019373F"/>
    <w:rsid w:val="00193743"/>
    <w:rsid w:val="0019397B"/>
    <w:rsid w:val="001948D1"/>
    <w:rsid w:val="00194BCC"/>
    <w:rsid w:val="00195EAB"/>
    <w:rsid w:val="001971C6"/>
    <w:rsid w:val="001A081C"/>
    <w:rsid w:val="001A0FEC"/>
    <w:rsid w:val="001A143D"/>
    <w:rsid w:val="001A1DC9"/>
    <w:rsid w:val="001A1E7A"/>
    <w:rsid w:val="001A3322"/>
    <w:rsid w:val="001A394F"/>
    <w:rsid w:val="001A3FE1"/>
    <w:rsid w:val="001A493A"/>
    <w:rsid w:val="001A4D38"/>
    <w:rsid w:val="001A4F8E"/>
    <w:rsid w:val="001A61A0"/>
    <w:rsid w:val="001A690E"/>
    <w:rsid w:val="001A6A81"/>
    <w:rsid w:val="001B03E2"/>
    <w:rsid w:val="001B0750"/>
    <w:rsid w:val="001B1E95"/>
    <w:rsid w:val="001B2440"/>
    <w:rsid w:val="001B2484"/>
    <w:rsid w:val="001B2610"/>
    <w:rsid w:val="001B26AC"/>
    <w:rsid w:val="001B3B5D"/>
    <w:rsid w:val="001B53ED"/>
    <w:rsid w:val="001B596A"/>
    <w:rsid w:val="001B69A5"/>
    <w:rsid w:val="001B6E72"/>
    <w:rsid w:val="001B6F5A"/>
    <w:rsid w:val="001C0A89"/>
    <w:rsid w:val="001C0EFE"/>
    <w:rsid w:val="001C147D"/>
    <w:rsid w:val="001C1D2C"/>
    <w:rsid w:val="001C1EB6"/>
    <w:rsid w:val="001C20C7"/>
    <w:rsid w:val="001C474A"/>
    <w:rsid w:val="001C4EEE"/>
    <w:rsid w:val="001C6DAC"/>
    <w:rsid w:val="001C71E4"/>
    <w:rsid w:val="001C71F8"/>
    <w:rsid w:val="001C7AA4"/>
    <w:rsid w:val="001C7DA0"/>
    <w:rsid w:val="001D0C7B"/>
    <w:rsid w:val="001D0D72"/>
    <w:rsid w:val="001D278D"/>
    <w:rsid w:val="001D2826"/>
    <w:rsid w:val="001D4E39"/>
    <w:rsid w:val="001D5B79"/>
    <w:rsid w:val="001D5ED0"/>
    <w:rsid w:val="001D6917"/>
    <w:rsid w:val="001D6EA7"/>
    <w:rsid w:val="001D7B14"/>
    <w:rsid w:val="001E0435"/>
    <w:rsid w:val="001E10DA"/>
    <w:rsid w:val="001E274C"/>
    <w:rsid w:val="001E2E0D"/>
    <w:rsid w:val="001E3BA7"/>
    <w:rsid w:val="001E4A72"/>
    <w:rsid w:val="001E5F6E"/>
    <w:rsid w:val="001E633D"/>
    <w:rsid w:val="001E6568"/>
    <w:rsid w:val="001E65FF"/>
    <w:rsid w:val="001E7245"/>
    <w:rsid w:val="001E7C41"/>
    <w:rsid w:val="001F024D"/>
    <w:rsid w:val="001F145A"/>
    <w:rsid w:val="001F1BF0"/>
    <w:rsid w:val="001F2AFE"/>
    <w:rsid w:val="001F38CB"/>
    <w:rsid w:val="001F4014"/>
    <w:rsid w:val="001F47DB"/>
    <w:rsid w:val="001F59CD"/>
    <w:rsid w:val="001F6D31"/>
    <w:rsid w:val="001F73BE"/>
    <w:rsid w:val="001F7BCF"/>
    <w:rsid w:val="001F7DFC"/>
    <w:rsid w:val="002009E5"/>
    <w:rsid w:val="002015A7"/>
    <w:rsid w:val="002023D8"/>
    <w:rsid w:val="00203431"/>
    <w:rsid w:val="00203ABF"/>
    <w:rsid w:val="00203C30"/>
    <w:rsid w:val="0020401B"/>
    <w:rsid w:val="002040AB"/>
    <w:rsid w:val="002045C6"/>
    <w:rsid w:val="00205D6F"/>
    <w:rsid w:val="002060C2"/>
    <w:rsid w:val="00207297"/>
    <w:rsid w:val="00207F08"/>
    <w:rsid w:val="0021064E"/>
    <w:rsid w:val="00210BDC"/>
    <w:rsid w:val="002110A1"/>
    <w:rsid w:val="002119BB"/>
    <w:rsid w:val="00211B17"/>
    <w:rsid w:val="00211B8D"/>
    <w:rsid w:val="00212526"/>
    <w:rsid w:val="002128D0"/>
    <w:rsid w:val="00212F6D"/>
    <w:rsid w:val="0021315A"/>
    <w:rsid w:val="0021362B"/>
    <w:rsid w:val="00217AC6"/>
    <w:rsid w:val="0022115B"/>
    <w:rsid w:val="00221163"/>
    <w:rsid w:val="0022128C"/>
    <w:rsid w:val="00222427"/>
    <w:rsid w:val="002225B0"/>
    <w:rsid w:val="0022283B"/>
    <w:rsid w:val="00222AE2"/>
    <w:rsid w:val="00222C04"/>
    <w:rsid w:val="00223658"/>
    <w:rsid w:val="00223C40"/>
    <w:rsid w:val="002254C4"/>
    <w:rsid w:val="00225AEA"/>
    <w:rsid w:val="00225B0E"/>
    <w:rsid w:val="00225C3A"/>
    <w:rsid w:val="00226148"/>
    <w:rsid w:val="002265E1"/>
    <w:rsid w:val="00227148"/>
    <w:rsid w:val="002278FF"/>
    <w:rsid w:val="0023018A"/>
    <w:rsid w:val="002311AE"/>
    <w:rsid w:val="00231C23"/>
    <w:rsid w:val="00232C0C"/>
    <w:rsid w:val="00232F9A"/>
    <w:rsid w:val="00232FF9"/>
    <w:rsid w:val="00233450"/>
    <w:rsid w:val="00233466"/>
    <w:rsid w:val="002342A1"/>
    <w:rsid w:val="00234335"/>
    <w:rsid w:val="002355D2"/>
    <w:rsid w:val="00235FC2"/>
    <w:rsid w:val="00236984"/>
    <w:rsid w:val="00237938"/>
    <w:rsid w:val="002379BB"/>
    <w:rsid w:val="00237BB9"/>
    <w:rsid w:val="0024146B"/>
    <w:rsid w:val="00241701"/>
    <w:rsid w:val="002417F1"/>
    <w:rsid w:val="00242059"/>
    <w:rsid w:val="00242A31"/>
    <w:rsid w:val="0024336B"/>
    <w:rsid w:val="00244AFA"/>
    <w:rsid w:val="00244BC4"/>
    <w:rsid w:val="00244D10"/>
    <w:rsid w:val="00245478"/>
    <w:rsid w:val="0024623A"/>
    <w:rsid w:val="002469D0"/>
    <w:rsid w:val="00250A0E"/>
    <w:rsid w:val="00250AE3"/>
    <w:rsid w:val="00250E6A"/>
    <w:rsid w:val="00252B89"/>
    <w:rsid w:val="002557F1"/>
    <w:rsid w:val="0025585A"/>
    <w:rsid w:val="00256233"/>
    <w:rsid w:val="00256A78"/>
    <w:rsid w:val="00256BCD"/>
    <w:rsid w:val="0025737C"/>
    <w:rsid w:val="002573AC"/>
    <w:rsid w:val="00260548"/>
    <w:rsid w:val="00260640"/>
    <w:rsid w:val="0026123F"/>
    <w:rsid w:val="002618D4"/>
    <w:rsid w:val="00261D08"/>
    <w:rsid w:val="00263C35"/>
    <w:rsid w:val="00264C31"/>
    <w:rsid w:val="00265280"/>
    <w:rsid w:val="0026533D"/>
    <w:rsid w:val="002654B7"/>
    <w:rsid w:val="00265A33"/>
    <w:rsid w:val="002661BC"/>
    <w:rsid w:val="00266832"/>
    <w:rsid w:val="00266869"/>
    <w:rsid w:val="00266BD4"/>
    <w:rsid w:val="002672B9"/>
    <w:rsid w:val="0026787A"/>
    <w:rsid w:val="00267AD8"/>
    <w:rsid w:val="00267E4F"/>
    <w:rsid w:val="00270A4A"/>
    <w:rsid w:val="002720EA"/>
    <w:rsid w:val="002729BF"/>
    <w:rsid w:val="00275A2F"/>
    <w:rsid w:val="002772AE"/>
    <w:rsid w:val="002777BB"/>
    <w:rsid w:val="00277B28"/>
    <w:rsid w:val="002809D4"/>
    <w:rsid w:val="00280A38"/>
    <w:rsid w:val="00280C8B"/>
    <w:rsid w:val="00281295"/>
    <w:rsid w:val="00282832"/>
    <w:rsid w:val="002831B8"/>
    <w:rsid w:val="00283D20"/>
    <w:rsid w:val="00284321"/>
    <w:rsid w:val="00285167"/>
    <w:rsid w:val="002852CE"/>
    <w:rsid w:val="00285551"/>
    <w:rsid w:val="002901C9"/>
    <w:rsid w:val="0029037C"/>
    <w:rsid w:val="00290F0E"/>
    <w:rsid w:val="0029175E"/>
    <w:rsid w:val="00291A36"/>
    <w:rsid w:val="00292E73"/>
    <w:rsid w:val="002932B4"/>
    <w:rsid w:val="00293A04"/>
    <w:rsid w:val="00293F8E"/>
    <w:rsid w:val="00294236"/>
    <w:rsid w:val="00295591"/>
    <w:rsid w:val="00296A25"/>
    <w:rsid w:val="00296BDF"/>
    <w:rsid w:val="00296EE4"/>
    <w:rsid w:val="00297FC4"/>
    <w:rsid w:val="002A0BA0"/>
    <w:rsid w:val="002A0F92"/>
    <w:rsid w:val="002A189E"/>
    <w:rsid w:val="002A1B0E"/>
    <w:rsid w:val="002A32B6"/>
    <w:rsid w:val="002A4363"/>
    <w:rsid w:val="002A4866"/>
    <w:rsid w:val="002A6725"/>
    <w:rsid w:val="002A680D"/>
    <w:rsid w:val="002A730B"/>
    <w:rsid w:val="002B0153"/>
    <w:rsid w:val="002B059A"/>
    <w:rsid w:val="002B2921"/>
    <w:rsid w:val="002B3016"/>
    <w:rsid w:val="002B4D8B"/>
    <w:rsid w:val="002B4DEB"/>
    <w:rsid w:val="002B4EDE"/>
    <w:rsid w:val="002B54B7"/>
    <w:rsid w:val="002B6407"/>
    <w:rsid w:val="002B7141"/>
    <w:rsid w:val="002B78DD"/>
    <w:rsid w:val="002B7E10"/>
    <w:rsid w:val="002C0A41"/>
    <w:rsid w:val="002C0C8F"/>
    <w:rsid w:val="002C1016"/>
    <w:rsid w:val="002C224D"/>
    <w:rsid w:val="002C4179"/>
    <w:rsid w:val="002C462B"/>
    <w:rsid w:val="002C4B11"/>
    <w:rsid w:val="002C5506"/>
    <w:rsid w:val="002C6F76"/>
    <w:rsid w:val="002C7042"/>
    <w:rsid w:val="002D0B7B"/>
    <w:rsid w:val="002D0EEF"/>
    <w:rsid w:val="002D1443"/>
    <w:rsid w:val="002D1982"/>
    <w:rsid w:val="002D1DD4"/>
    <w:rsid w:val="002D31E0"/>
    <w:rsid w:val="002D48DB"/>
    <w:rsid w:val="002D4ACD"/>
    <w:rsid w:val="002D4DD8"/>
    <w:rsid w:val="002D4EC2"/>
    <w:rsid w:val="002D566A"/>
    <w:rsid w:val="002D5C26"/>
    <w:rsid w:val="002D62FC"/>
    <w:rsid w:val="002D65F6"/>
    <w:rsid w:val="002D6A16"/>
    <w:rsid w:val="002D6CF4"/>
    <w:rsid w:val="002D73BA"/>
    <w:rsid w:val="002D7ADE"/>
    <w:rsid w:val="002E0652"/>
    <w:rsid w:val="002E0A05"/>
    <w:rsid w:val="002E19F2"/>
    <w:rsid w:val="002E1A6E"/>
    <w:rsid w:val="002E1E23"/>
    <w:rsid w:val="002E1EF9"/>
    <w:rsid w:val="002E2508"/>
    <w:rsid w:val="002E38E4"/>
    <w:rsid w:val="002E3CF4"/>
    <w:rsid w:val="002E3EA1"/>
    <w:rsid w:val="002E4196"/>
    <w:rsid w:val="002E4455"/>
    <w:rsid w:val="002E4ED0"/>
    <w:rsid w:val="002E536D"/>
    <w:rsid w:val="002E57E3"/>
    <w:rsid w:val="002E5B8F"/>
    <w:rsid w:val="002E5D69"/>
    <w:rsid w:val="002E76D9"/>
    <w:rsid w:val="002F0102"/>
    <w:rsid w:val="002F2671"/>
    <w:rsid w:val="002F3F27"/>
    <w:rsid w:val="002F4094"/>
    <w:rsid w:val="002F4D63"/>
    <w:rsid w:val="002F532A"/>
    <w:rsid w:val="002F53C2"/>
    <w:rsid w:val="002F5787"/>
    <w:rsid w:val="002F7CF5"/>
    <w:rsid w:val="0030197C"/>
    <w:rsid w:val="00301A88"/>
    <w:rsid w:val="00301E5E"/>
    <w:rsid w:val="0030239C"/>
    <w:rsid w:val="00302C98"/>
    <w:rsid w:val="00302E84"/>
    <w:rsid w:val="003046CF"/>
    <w:rsid w:val="00304AAE"/>
    <w:rsid w:val="00304CCF"/>
    <w:rsid w:val="003060CA"/>
    <w:rsid w:val="00306EBD"/>
    <w:rsid w:val="00311083"/>
    <w:rsid w:val="003119F7"/>
    <w:rsid w:val="00311AAE"/>
    <w:rsid w:val="00311D7F"/>
    <w:rsid w:val="003121C8"/>
    <w:rsid w:val="00312C98"/>
    <w:rsid w:val="003137E2"/>
    <w:rsid w:val="003139E4"/>
    <w:rsid w:val="00314113"/>
    <w:rsid w:val="00314317"/>
    <w:rsid w:val="00314734"/>
    <w:rsid w:val="00314D93"/>
    <w:rsid w:val="003153CB"/>
    <w:rsid w:val="0031587D"/>
    <w:rsid w:val="00315F3E"/>
    <w:rsid w:val="003172E5"/>
    <w:rsid w:val="0031769D"/>
    <w:rsid w:val="00320C1F"/>
    <w:rsid w:val="00322322"/>
    <w:rsid w:val="00322D1B"/>
    <w:rsid w:val="00322F1C"/>
    <w:rsid w:val="0032408B"/>
    <w:rsid w:val="003248FB"/>
    <w:rsid w:val="003249AD"/>
    <w:rsid w:val="00325A66"/>
    <w:rsid w:val="00326B2B"/>
    <w:rsid w:val="0032711C"/>
    <w:rsid w:val="003271BD"/>
    <w:rsid w:val="00327BB2"/>
    <w:rsid w:val="0033060C"/>
    <w:rsid w:val="003319BB"/>
    <w:rsid w:val="00332313"/>
    <w:rsid w:val="00332780"/>
    <w:rsid w:val="00334342"/>
    <w:rsid w:val="00334997"/>
    <w:rsid w:val="003351FF"/>
    <w:rsid w:val="00335343"/>
    <w:rsid w:val="0033729C"/>
    <w:rsid w:val="003377C8"/>
    <w:rsid w:val="0033794D"/>
    <w:rsid w:val="00337C61"/>
    <w:rsid w:val="00340416"/>
    <w:rsid w:val="00341C39"/>
    <w:rsid w:val="00342AFB"/>
    <w:rsid w:val="003433A5"/>
    <w:rsid w:val="00343A97"/>
    <w:rsid w:val="00345514"/>
    <w:rsid w:val="00345A0D"/>
    <w:rsid w:val="00346742"/>
    <w:rsid w:val="003477D3"/>
    <w:rsid w:val="003477DE"/>
    <w:rsid w:val="00347CC2"/>
    <w:rsid w:val="0035206C"/>
    <w:rsid w:val="0035236C"/>
    <w:rsid w:val="00353E3A"/>
    <w:rsid w:val="00354267"/>
    <w:rsid w:val="003565E6"/>
    <w:rsid w:val="00356ABC"/>
    <w:rsid w:val="00356DFC"/>
    <w:rsid w:val="00357AA6"/>
    <w:rsid w:val="00357CC0"/>
    <w:rsid w:val="00361ECA"/>
    <w:rsid w:val="003620C8"/>
    <w:rsid w:val="0036272A"/>
    <w:rsid w:val="0036395E"/>
    <w:rsid w:val="00363E0A"/>
    <w:rsid w:val="003644C9"/>
    <w:rsid w:val="00364F72"/>
    <w:rsid w:val="00365E58"/>
    <w:rsid w:val="003664DD"/>
    <w:rsid w:val="00367035"/>
    <w:rsid w:val="003701FE"/>
    <w:rsid w:val="00370AB0"/>
    <w:rsid w:val="00371364"/>
    <w:rsid w:val="0037369C"/>
    <w:rsid w:val="003737C8"/>
    <w:rsid w:val="003743F9"/>
    <w:rsid w:val="003749B5"/>
    <w:rsid w:val="00376E92"/>
    <w:rsid w:val="003776B9"/>
    <w:rsid w:val="003776DD"/>
    <w:rsid w:val="00380331"/>
    <w:rsid w:val="00380723"/>
    <w:rsid w:val="00380C43"/>
    <w:rsid w:val="00382428"/>
    <w:rsid w:val="0038373D"/>
    <w:rsid w:val="003852D2"/>
    <w:rsid w:val="003858CD"/>
    <w:rsid w:val="003862B6"/>
    <w:rsid w:val="00386331"/>
    <w:rsid w:val="0038698E"/>
    <w:rsid w:val="00386D0F"/>
    <w:rsid w:val="00387AB3"/>
    <w:rsid w:val="00387B18"/>
    <w:rsid w:val="0039065F"/>
    <w:rsid w:val="00391C28"/>
    <w:rsid w:val="00391C3F"/>
    <w:rsid w:val="003927A2"/>
    <w:rsid w:val="00392B2D"/>
    <w:rsid w:val="00393662"/>
    <w:rsid w:val="00393BB5"/>
    <w:rsid w:val="00394391"/>
    <w:rsid w:val="0039471F"/>
    <w:rsid w:val="00394918"/>
    <w:rsid w:val="003951C2"/>
    <w:rsid w:val="003953A0"/>
    <w:rsid w:val="003956DF"/>
    <w:rsid w:val="00395C96"/>
    <w:rsid w:val="003960D1"/>
    <w:rsid w:val="0039699C"/>
    <w:rsid w:val="00396DE6"/>
    <w:rsid w:val="00396E8C"/>
    <w:rsid w:val="00396F99"/>
    <w:rsid w:val="00397E98"/>
    <w:rsid w:val="00397FA1"/>
    <w:rsid w:val="003A2107"/>
    <w:rsid w:val="003A270D"/>
    <w:rsid w:val="003A2AE4"/>
    <w:rsid w:val="003A5FC8"/>
    <w:rsid w:val="003A69F2"/>
    <w:rsid w:val="003A6AF4"/>
    <w:rsid w:val="003A6C87"/>
    <w:rsid w:val="003A6E35"/>
    <w:rsid w:val="003A7309"/>
    <w:rsid w:val="003B1BCD"/>
    <w:rsid w:val="003B2879"/>
    <w:rsid w:val="003B33EE"/>
    <w:rsid w:val="003B36EB"/>
    <w:rsid w:val="003B5358"/>
    <w:rsid w:val="003B626C"/>
    <w:rsid w:val="003C1E47"/>
    <w:rsid w:val="003C3E36"/>
    <w:rsid w:val="003C5966"/>
    <w:rsid w:val="003C5CA4"/>
    <w:rsid w:val="003C6537"/>
    <w:rsid w:val="003C6FFD"/>
    <w:rsid w:val="003C756F"/>
    <w:rsid w:val="003C75ED"/>
    <w:rsid w:val="003D03C9"/>
    <w:rsid w:val="003D09EB"/>
    <w:rsid w:val="003D10CF"/>
    <w:rsid w:val="003D1718"/>
    <w:rsid w:val="003D19E6"/>
    <w:rsid w:val="003D1DD6"/>
    <w:rsid w:val="003D1E09"/>
    <w:rsid w:val="003D28E7"/>
    <w:rsid w:val="003D2FB0"/>
    <w:rsid w:val="003D30A4"/>
    <w:rsid w:val="003D3168"/>
    <w:rsid w:val="003D43B3"/>
    <w:rsid w:val="003D5B2F"/>
    <w:rsid w:val="003D5BA5"/>
    <w:rsid w:val="003D5E2E"/>
    <w:rsid w:val="003D7610"/>
    <w:rsid w:val="003E106D"/>
    <w:rsid w:val="003E3BD6"/>
    <w:rsid w:val="003E3EF0"/>
    <w:rsid w:val="003E3F36"/>
    <w:rsid w:val="003E532D"/>
    <w:rsid w:val="003E5ECD"/>
    <w:rsid w:val="003E6C9D"/>
    <w:rsid w:val="003F07E0"/>
    <w:rsid w:val="003F1916"/>
    <w:rsid w:val="003F1B67"/>
    <w:rsid w:val="003F23B0"/>
    <w:rsid w:val="003F3F53"/>
    <w:rsid w:val="003F4E36"/>
    <w:rsid w:val="003F5036"/>
    <w:rsid w:val="003F606E"/>
    <w:rsid w:val="003F7619"/>
    <w:rsid w:val="00400B31"/>
    <w:rsid w:val="00400B42"/>
    <w:rsid w:val="00401DFB"/>
    <w:rsid w:val="00401FF6"/>
    <w:rsid w:val="00402488"/>
    <w:rsid w:val="00402677"/>
    <w:rsid w:val="0040358C"/>
    <w:rsid w:val="004035EC"/>
    <w:rsid w:val="0040413A"/>
    <w:rsid w:val="004041DC"/>
    <w:rsid w:val="004044E0"/>
    <w:rsid w:val="0040468C"/>
    <w:rsid w:val="0040484C"/>
    <w:rsid w:val="0040498B"/>
    <w:rsid w:val="00404FFA"/>
    <w:rsid w:val="004059F0"/>
    <w:rsid w:val="00405D0C"/>
    <w:rsid w:val="00406983"/>
    <w:rsid w:val="00406F5C"/>
    <w:rsid w:val="00407D7F"/>
    <w:rsid w:val="00410221"/>
    <w:rsid w:val="004113FC"/>
    <w:rsid w:val="0041161F"/>
    <w:rsid w:val="00411F34"/>
    <w:rsid w:val="004122CF"/>
    <w:rsid w:val="004127BD"/>
    <w:rsid w:val="00412E02"/>
    <w:rsid w:val="00413073"/>
    <w:rsid w:val="004135DC"/>
    <w:rsid w:val="00413F03"/>
    <w:rsid w:val="00415248"/>
    <w:rsid w:val="004154CD"/>
    <w:rsid w:val="00416503"/>
    <w:rsid w:val="004165C6"/>
    <w:rsid w:val="0041708A"/>
    <w:rsid w:val="004170E5"/>
    <w:rsid w:val="0041758A"/>
    <w:rsid w:val="00417F28"/>
    <w:rsid w:val="00421824"/>
    <w:rsid w:val="004229F6"/>
    <w:rsid w:val="0042351A"/>
    <w:rsid w:val="00423CB3"/>
    <w:rsid w:val="00424CF8"/>
    <w:rsid w:val="00424EAC"/>
    <w:rsid w:val="004255A3"/>
    <w:rsid w:val="00426333"/>
    <w:rsid w:val="00426A18"/>
    <w:rsid w:val="00426C34"/>
    <w:rsid w:val="00426D31"/>
    <w:rsid w:val="00427D8E"/>
    <w:rsid w:val="004305E4"/>
    <w:rsid w:val="00430F5F"/>
    <w:rsid w:val="00431C29"/>
    <w:rsid w:val="004325F0"/>
    <w:rsid w:val="00432C0F"/>
    <w:rsid w:val="00433248"/>
    <w:rsid w:val="004332A3"/>
    <w:rsid w:val="00433627"/>
    <w:rsid w:val="0043468C"/>
    <w:rsid w:val="00434BCE"/>
    <w:rsid w:val="00436F2B"/>
    <w:rsid w:val="00437006"/>
    <w:rsid w:val="004407CC"/>
    <w:rsid w:val="00440A3B"/>
    <w:rsid w:val="0044463D"/>
    <w:rsid w:val="004451D4"/>
    <w:rsid w:val="00445C75"/>
    <w:rsid w:val="00446C56"/>
    <w:rsid w:val="00450281"/>
    <w:rsid w:val="00450369"/>
    <w:rsid w:val="0045095B"/>
    <w:rsid w:val="0045148C"/>
    <w:rsid w:val="00451C28"/>
    <w:rsid w:val="00452786"/>
    <w:rsid w:val="004536B8"/>
    <w:rsid w:val="00454FD2"/>
    <w:rsid w:val="00455615"/>
    <w:rsid w:val="00455ABC"/>
    <w:rsid w:val="00456E52"/>
    <w:rsid w:val="00457B2F"/>
    <w:rsid w:val="00460729"/>
    <w:rsid w:val="0046081F"/>
    <w:rsid w:val="00460A7B"/>
    <w:rsid w:val="00460A87"/>
    <w:rsid w:val="004622F5"/>
    <w:rsid w:val="00462C8A"/>
    <w:rsid w:val="00463413"/>
    <w:rsid w:val="00463EA4"/>
    <w:rsid w:val="00465F47"/>
    <w:rsid w:val="00466510"/>
    <w:rsid w:val="004675C2"/>
    <w:rsid w:val="00467B20"/>
    <w:rsid w:val="004702E1"/>
    <w:rsid w:val="00470700"/>
    <w:rsid w:val="00470768"/>
    <w:rsid w:val="00471CAE"/>
    <w:rsid w:val="0047210D"/>
    <w:rsid w:val="00472D68"/>
    <w:rsid w:val="00472F70"/>
    <w:rsid w:val="004736ED"/>
    <w:rsid w:val="004741A1"/>
    <w:rsid w:val="00474248"/>
    <w:rsid w:val="004749BD"/>
    <w:rsid w:val="00474B39"/>
    <w:rsid w:val="0047511D"/>
    <w:rsid w:val="004759BC"/>
    <w:rsid w:val="00475EF7"/>
    <w:rsid w:val="00476595"/>
    <w:rsid w:val="00483024"/>
    <w:rsid w:val="0048369D"/>
    <w:rsid w:val="004838AE"/>
    <w:rsid w:val="00483C60"/>
    <w:rsid w:val="00483DBB"/>
    <w:rsid w:val="00484B8F"/>
    <w:rsid w:val="00484E77"/>
    <w:rsid w:val="00485214"/>
    <w:rsid w:val="00485439"/>
    <w:rsid w:val="0048575B"/>
    <w:rsid w:val="00485DE9"/>
    <w:rsid w:val="00485E39"/>
    <w:rsid w:val="004876A2"/>
    <w:rsid w:val="0049025B"/>
    <w:rsid w:val="00490D4C"/>
    <w:rsid w:val="0049165E"/>
    <w:rsid w:val="00491CB1"/>
    <w:rsid w:val="00491F8A"/>
    <w:rsid w:val="00492AF1"/>
    <w:rsid w:val="00492F65"/>
    <w:rsid w:val="004941C1"/>
    <w:rsid w:val="0049578C"/>
    <w:rsid w:val="00495849"/>
    <w:rsid w:val="004958F7"/>
    <w:rsid w:val="0049624A"/>
    <w:rsid w:val="0049630B"/>
    <w:rsid w:val="00496A18"/>
    <w:rsid w:val="004977D3"/>
    <w:rsid w:val="00497A54"/>
    <w:rsid w:val="004A0F98"/>
    <w:rsid w:val="004A1930"/>
    <w:rsid w:val="004A1DEF"/>
    <w:rsid w:val="004A492B"/>
    <w:rsid w:val="004A50C0"/>
    <w:rsid w:val="004A51E9"/>
    <w:rsid w:val="004A53AC"/>
    <w:rsid w:val="004A69FB"/>
    <w:rsid w:val="004A6BFC"/>
    <w:rsid w:val="004B0A96"/>
    <w:rsid w:val="004B0D14"/>
    <w:rsid w:val="004B0D72"/>
    <w:rsid w:val="004B1C67"/>
    <w:rsid w:val="004B244E"/>
    <w:rsid w:val="004B2DC8"/>
    <w:rsid w:val="004B2E36"/>
    <w:rsid w:val="004B3A4E"/>
    <w:rsid w:val="004B4447"/>
    <w:rsid w:val="004B50D9"/>
    <w:rsid w:val="004B5545"/>
    <w:rsid w:val="004B573E"/>
    <w:rsid w:val="004B626A"/>
    <w:rsid w:val="004B6306"/>
    <w:rsid w:val="004B6997"/>
    <w:rsid w:val="004B6AB4"/>
    <w:rsid w:val="004B7D07"/>
    <w:rsid w:val="004C0682"/>
    <w:rsid w:val="004C0D00"/>
    <w:rsid w:val="004C1416"/>
    <w:rsid w:val="004C1C2D"/>
    <w:rsid w:val="004C26CB"/>
    <w:rsid w:val="004C39F2"/>
    <w:rsid w:val="004C443D"/>
    <w:rsid w:val="004C44FA"/>
    <w:rsid w:val="004C67FD"/>
    <w:rsid w:val="004C6AEC"/>
    <w:rsid w:val="004C739A"/>
    <w:rsid w:val="004D0239"/>
    <w:rsid w:val="004D0B22"/>
    <w:rsid w:val="004D0CD7"/>
    <w:rsid w:val="004D18C7"/>
    <w:rsid w:val="004D18E3"/>
    <w:rsid w:val="004D1B60"/>
    <w:rsid w:val="004D21F5"/>
    <w:rsid w:val="004D357E"/>
    <w:rsid w:val="004D3D9C"/>
    <w:rsid w:val="004D473C"/>
    <w:rsid w:val="004D50D5"/>
    <w:rsid w:val="004D51A5"/>
    <w:rsid w:val="004D5415"/>
    <w:rsid w:val="004D67AB"/>
    <w:rsid w:val="004D6C9C"/>
    <w:rsid w:val="004D7250"/>
    <w:rsid w:val="004D7B57"/>
    <w:rsid w:val="004E1029"/>
    <w:rsid w:val="004E1EE1"/>
    <w:rsid w:val="004E3290"/>
    <w:rsid w:val="004E3875"/>
    <w:rsid w:val="004E3F52"/>
    <w:rsid w:val="004E5407"/>
    <w:rsid w:val="004E5BA4"/>
    <w:rsid w:val="004E6654"/>
    <w:rsid w:val="004E6CE2"/>
    <w:rsid w:val="004E71AE"/>
    <w:rsid w:val="004E75CC"/>
    <w:rsid w:val="004E7813"/>
    <w:rsid w:val="004E78DB"/>
    <w:rsid w:val="004F0D4A"/>
    <w:rsid w:val="004F0F92"/>
    <w:rsid w:val="004F6D83"/>
    <w:rsid w:val="00500898"/>
    <w:rsid w:val="00501074"/>
    <w:rsid w:val="005047FC"/>
    <w:rsid w:val="00506B9A"/>
    <w:rsid w:val="0050747A"/>
    <w:rsid w:val="0050751C"/>
    <w:rsid w:val="0050790D"/>
    <w:rsid w:val="005106C5"/>
    <w:rsid w:val="00511112"/>
    <w:rsid w:val="00511837"/>
    <w:rsid w:val="00511FEE"/>
    <w:rsid w:val="00512260"/>
    <w:rsid w:val="0051337A"/>
    <w:rsid w:val="0051431A"/>
    <w:rsid w:val="00514B99"/>
    <w:rsid w:val="00515AB0"/>
    <w:rsid w:val="00516563"/>
    <w:rsid w:val="00516C1C"/>
    <w:rsid w:val="00516D39"/>
    <w:rsid w:val="00516FC2"/>
    <w:rsid w:val="0051719D"/>
    <w:rsid w:val="0051738E"/>
    <w:rsid w:val="00517ECD"/>
    <w:rsid w:val="00520486"/>
    <w:rsid w:val="005208AC"/>
    <w:rsid w:val="0052141A"/>
    <w:rsid w:val="005216E1"/>
    <w:rsid w:val="00522F6C"/>
    <w:rsid w:val="00522FE9"/>
    <w:rsid w:val="00523A01"/>
    <w:rsid w:val="005242FC"/>
    <w:rsid w:val="00524552"/>
    <w:rsid w:val="0052492E"/>
    <w:rsid w:val="00524EC8"/>
    <w:rsid w:val="005257C1"/>
    <w:rsid w:val="005257D2"/>
    <w:rsid w:val="00525A06"/>
    <w:rsid w:val="00526A6B"/>
    <w:rsid w:val="00526FF1"/>
    <w:rsid w:val="0052786F"/>
    <w:rsid w:val="00527B48"/>
    <w:rsid w:val="0053033E"/>
    <w:rsid w:val="00530706"/>
    <w:rsid w:val="00532DA0"/>
    <w:rsid w:val="00534396"/>
    <w:rsid w:val="005347F9"/>
    <w:rsid w:val="00534849"/>
    <w:rsid w:val="00535720"/>
    <w:rsid w:val="00535C4C"/>
    <w:rsid w:val="00536D2E"/>
    <w:rsid w:val="00537CD5"/>
    <w:rsid w:val="00537FAD"/>
    <w:rsid w:val="005408CF"/>
    <w:rsid w:val="00540F65"/>
    <w:rsid w:val="00541B50"/>
    <w:rsid w:val="00542620"/>
    <w:rsid w:val="00542B2E"/>
    <w:rsid w:val="00542BDB"/>
    <w:rsid w:val="00543106"/>
    <w:rsid w:val="00543B44"/>
    <w:rsid w:val="00543C7F"/>
    <w:rsid w:val="00543FAD"/>
    <w:rsid w:val="00543FC0"/>
    <w:rsid w:val="00544E5D"/>
    <w:rsid w:val="00545478"/>
    <w:rsid w:val="00545C2F"/>
    <w:rsid w:val="00546330"/>
    <w:rsid w:val="00546686"/>
    <w:rsid w:val="00547632"/>
    <w:rsid w:val="00550818"/>
    <w:rsid w:val="00550CD9"/>
    <w:rsid w:val="00550DC6"/>
    <w:rsid w:val="00551297"/>
    <w:rsid w:val="005512A8"/>
    <w:rsid w:val="00552465"/>
    <w:rsid w:val="005528B5"/>
    <w:rsid w:val="0055340F"/>
    <w:rsid w:val="0055648F"/>
    <w:rsid w:val="0055701E"/>
    <w:rsid w:val="0055735E"/>
    <w:rsid w:val="00557553"/>
    <w:rsid w:val="00557750"/>
    <w:rsid w:val="005579B4"/>
    <w:rsid w:val="00557BF1"/>
    <w:rsid w:val="00560331"/>
    <w:rsid w:val="0056067D"/>
    <w:rsid w:val="00560EBA"/>
    <w:rsid w:val="00563152"/>
    <w:rsid w:val="00563FB0"/>
    <w:rsid w:val="005649CD"/>
    <w:rsid w:val="00564F01"/>
    <w:rsid w:val="00565C47"/>
    <w:rsid w:val="00565ECD"/>
    <w:rsid w:val="005667B2"/>
    <w:rsid w:val="00567380"/>
    <w:rsid w:val="00567491"/>
    <w:rsid w:val="005677E7"/>
    <w:rsid w:val="00567822"/>
    <w:rsid w:val="00567F96"/>
    <w:rsid w:val="005700D5"/>
    <w:rsid w:val="0057177A"/>
    <w:rsid w:val="00572B45"/>
    <w:rsid w:val="00573FF2"/>
    <w:rsid w:val="00576101"/>
    <w:rsid w:val="00576A20"/>
    <w:rsid w:val="00577465"/>
    <w:rsid w:val="0057770C"/>
    <w:rsid w:val="00577A43"/>
    <w:rsid w:val="00577FAF"/>
    <w:rsid w:val="00582052"/>
    <w:rsid w:val="005838AB"/>
    <w:rsid w:val="00583B5B"/>
    <w:rsid w:val="00584247"/>
    <w:rsid w:val="005847BF"/>
    <w:rsid w:val="00585382"/>
    <w:rsid w:val="00585E31"/>
    <w:rsid w:val="005865C6"/>
    <w:rsid w:val="0059080E"/>
    <w:rsid w:val="00590A1D"/>
    <w:rsid w:val="005913EB"/>
    <w:rsid w:val="00593224"/>
    <w:rsid w:val="00593721"/>
    <w:rsid w:val="00593829"/>
    <w:rsid w:val="0059391B"/>
    <w:rsid w:val="00593FB5"/>
    <w:rsid w:val="0059552A"/>
    <w:rsid w:val="00595682"/>
    <w:rsid w:val="00595F32"/>
    <w:rsid w:val="005A02B2"/>
    <w:rsid w:val="005A0416"/>
    <w:rsid w:val="005A0515"/>
    <w:rsid w:val="005A2A01"/>
    <w:rsid w:val="005A308C"/>
    <w:rsid w:val="005A53BD"/>
    <w:rsid w:val="005A5E73"/>
    <w:rsid w:val="005A61AA"/>
    <w:rsid w:val="005B0079"/>
    <w:rsid w:val="005B080C"/>
    <w:rsid w:val="005B0F4C"/>
    <w:rsid w:val="005B28F3"/>
    <w:rsid w:val="005B3FFC"/>
    <w:rsid w:val="005B43DC"/>
    <w:rsid w:val="005B57B8"/>
    <w:rsid w:val="005B5ECF"/>
    <w:rsid w:val="005B6DB5"/>
    <w:rsid w:val="005B706F"/>
    <w:rsid w:val="005B7326"/>
    <w:rsid w:val="005B733F"/>
    <w:rsid w:val="005C0C4D"/>
    <w:rsid w:val="005C137F"/>
    <w:rsid w:val="005C1451"/>
    <w:rsid w:val="005C17D5"/>
    <w:rsid w:val="005C1873"/>
    <w:rsid w:val="005C1B16"/>
    <w:rsid w:val="005C1BB1"/>
    <w:rsid w:val="005C22DE"/>
    <w:rsid w:val="005C3B40"/>
    <w:rsid w:val="005C4566"/>
    <w:rsid w:val="005C495C"/>
    <w:rsid w:val="005C52C9"/>
    <w:rsid w:val="005C5E04"/>
    <w:rsid w:val="005C7E1D"/>
    <w:rsid w:val="005D0288"/>
    <w:rsid w:val="005D061E"/>
    <w:rsid w:val="005D15E9"/>
    <w:rsid w:val="005D1CFA"/>
    <w:rsid w:val="005D2283"/>
    <w:rsid w:val="005D2782"/>
    <w:rsid w:val="005D2AC6"/>
    <w:rsid w:val="005D3EDC"/>
    <w:rsid w:val="005D3F9F"/>
    <w:rsid w:val="005D4517"/>
    <w:rsid w:val="005D494F"/>
    <w:rsid w:val="005D4AF0"/>
    <w:rsid w:val="005D57E4"/>
    <w:rsid w:val="005D5981"/>
    <w:rsid w:val="005D6347"/>
    <w:rsid w:val="005D6AE6"/>
    <w:rsid w:val="005D6D01"/>
    <w:rsid w:val="005D70D7"/>
    <w:rsid w:val="005D7AF3"/>
    <w:rsid w:val="005E0254"/>
    <w:rsid w:val="005E05D0"/>
    <w:rsid w:val="005E0760"/>
    <w:rsid w:val="005E11B5"/>
    <w:rsid w:val="005E12AA"/>
    <w:rsid w:val="005E489F"/>
    <w:rsid w:val="005E5B7F"/>
    <w:rsid w:val="005E65BF"/>
    <w:rsid w:val="005E65D9"/>
    <w:rsid w:val="005E65E8"/>
    <w:rsid w:val="005E6E73"/>
    <w:rsid w:val="005E7A18"/>
    <w:rsid w:val="005E7B2D"/>
    <w:rsid w:val="005E7C80"/>
    <w:rsid w:val="005F05DB"/>
    <w:rsid w:val="005F0A75"/>
    <w:rsid w:val="005F1CAB"/>
    <w:rsid w:val="005F1FF9"/>
    <w:rsid w:val="005F43C4"/>
    <w:rsid w:val="005F4538"/>
    <w:rsid w:val="005F491D"/>
    <w:rsid w:val="005F4CE8"/>
    <w:rsid w:val="005F5233"/>
    <w:rsid w:val="005F55C3"/>
    <w:rsid w:val="005F5F5A"/>
    <w:rsid w:val="005F7F54"/>
    <w:rsid w:val="00600357"/>
    <w:rsid w:val="00600738"/>
    <w:rsid w:val="0060155A"/>
    <w:rsid w:val="00601848"/>
    <w:rsid w:val="00601FE8"/>
    <w:rsid w:val="006038E1"/>
    <w:rsid w:val="00603F73"/>
    <w:rsid w:val="00603FB6"/>
    <w:rsid w:val="00604AC8"/>
    <w:rsid w:val="00606C25"/>
    <w:rsid w:val="00607A96"/>
    <w:rsid w:val="00607B38"/>
    <w:rsid w:val="00607F60"/>
    <w:rsid w:val="00611288"/>
    <w:rsid w:val="0061182F"/>
    <w:rsid w:val="006122DE"/>
    <w:rsid w:val="00613158"/>
    <w:rsid w:val="006134ED"/>
    <w:rsid w:val="00613863"/>
    <w:rsid w:val="006158CD"/>
    <w:rsid w:val="00615E7D"/>
    <w:rsid w:val="006172D3"/>
    <w:rsid w:val="0061768C"/>
    <w:rsid w:val="00617B58"/>
    <w:rsid w:val="00620236"/>
    <w:rsid w:val="00621F20"/>
    <w:rsid w:val="00622160"/>
    <w:rsid w:val="00622381"/>
    <w:rsid w:val="006225E8"/>
    <w:rsid w:val="00622960"/>
    <w:rsid w:val="00622E2A"/>
    <w:rsid w:val="006230DB"/>
    <w:rsid w:val="00623339"/>
    <w:rsid w:val="00623702"/>
    <w:rsid w:val="00624899"/>
    <w:rsid w:val="00625380"/>
    <w:rsid w:val="0063068F"/>
    <w:rsid w:val="0063168E"/>
    <w:rsid w:val="006318C6"/>
    <w:rsid w:val="00631DC8"/>
    <w:rsid w:val="00632BA5"/>
    <w:rsid w:val="00632E6A"/>
    <w:rsid w:val="006334E7"/>
    <w:rsid w:val="00633A9A"/>
    <w:rsid w:val="00634BFA"/>
    <w:rsid w:val="00635062"/>
    <w:rsid w:val="00637716"/>
    <w:rsid w:val="00644356"/>
    <w:rsid w:val="00644D74"/>
    <w:rsid w:val="00645311"/>
    <w:rsid w:val="00645688"/>
    <w:rsid w:val="006459C5"/>
    <w:rsid w:val="00645F01"/>
    <w:rsid w:val="0064630F"/>
    <w:rsid w:val="00647464"/>
    <w:rsid w:val="00647555"/>
    <w:rsid w:val="006507EF"/>
    <w:rsid w:val="0065158A"/>
    <w:rsid w:val="006515A1"/>
    <w:rsid w:val="0065356B"/>
    <w:rsid w:val="006538D1"/>
    <w:rsid w:val="00654311"/>
    <w:rsid w:val="006548FC"/>
    <w:rsid w:val="0065499E"/>
    <w:rsid w:val="00654AC1"/>
    <w:rsid w:val="00654FBA"/>
    <w:rsid w:val="00655455"/>
    <w:rsid w:val="00655675"/>
    <w:rsid w:val="00656BA3"/>
    <w:rsid w:val="00656DF0"/>
    <w:rsid w:val="00656FB1"/>
    <w:rsid w:val="00660E64"/>
    <w:rsid w:val="00661DE7"/>
    <w:rsid w:val="006622E3"/>
    <w:rsid w:val="0066279E"/>
    <w:rsid w:val="00666EE8"/>
    <w:rsid w:val="00667AAA"/>
    <w:rsid w:val="006701DF"/>
    <w:rsid w:val="006706A1"/>
    <w:rsid w:val="00670933"/>
    <w:rsid w:val="00671019"/>
    <w:rsid w:val="006715C8"/>
    <w:rsid w:val="00671996"/>
    <w:rsid w:val="00671DDC"/>
    <w:rsid w:val="006725F0"/>
    <w:rsid w:val="00672B21"/>
    <w:rsid w:val="00673007"/>
    <w:rsid w:val="0067474F"/>
    <w:rsid w:val="006765B7"/>
    <w:rsid w:val="00676727"/>
    <w:rsid w:val="0067758A"/>
    <w:rsid w:val="0067762C"/>
    <w:rsid w:val="00680128"/>
    <w:rsid w:val="00680687"/>
    <w:rsid w:val="006807FB"/>
    <w:rsid w:val="00680944"/>
    <w:rsid w:val="006809B5"/>
    <w:rsid w:val="00680C0A"/>
    <w:rsid w:val="00681FAB"/>
    <w:rsid w:val="0068216F"/>
    <w:rsid w:val="006822C6"/>
    <w:rsid w:val="006823CE"/>
    <w:rsid w:val="00682762"/>
    <w:rsid w:val="00682B40"/>
    <w:rsid w:val="00682EFC"/>
    <w:rsid w:val="0068385F"/>
    <w:rsid w:val="00684559"/>
    <w:rsid w:val="00684AFF"/>
    <w:rsid w:val="00684BC7"/>
    <w:rsid w:val="00684F0E"/>
    <w:rsid w:val="006859AB"/>
    <w:rsid w:val="00685E14"/>
    <w:rsid w:val="00686261"/>
    <w:rsid w:val="00687642"/>
    <w:rsid w:val="00687B7E"/>
    <w:rsid w:val="00687BC6"/>
    <w:rsid w:val="006900B5"/>
    <w:rsid w:val="006909AB"/>
    <w:rsid w:val="00690CF2"/>
    <w:rsid w:val="006915BB"/>
    <w:rsid w:val="0069357C"/>
    <w:rsid w:val="00693CC5"/>
    <w:rsid w:val="00694EE4"/>
    <w:rsid w:val="00695E25"/>
    <w:rsid w:val="0069607F"/>
    <w:rsid w:val="006960E9"/>
    <w:rsid w:val="00696612"/>
    <w:rsid w:val="00697F8C"/>
    <w:rsid w:val="006A00C2"/>
    <w:rsid w:val="006A0539"/>
    <w:rsid w:val="006A074B"/>
    <w:rsid w:val="006A0AD3"/>
    <w:rsid w:val="006A1BE7"/>
    <w:rsid w:val="006A1C04"/>
    <w:rsid w:val="006A1DA9"/>
    <w:rsid w:val="006A29D8"/>
    <w:rsid w:val="006A36F9"/>
    <w:rsid w:val="006A3D52"/>
    <w:rsid w:val="006A4B6C"/>
    <w:rsid w:val="006A4E72"/>
    <w:rsid w:val="006A531C"/>
    <w:rsid w:val="006A6AB1"/>
    <w:rsid w:val="006A6D38"/>
    <w:rsid w:val="006A75B3"/>
    <w:rsid w:val="006A7719"/>
    <w:rsid w:val="006A7D36"/>
    <w:rsid w:val="006B111A"/>
    <w:rsid w:val="006B120F"/>
    <w:rsid w:val="006B127C"/>
    <w:rsid w:val="006B1B9C"/>
    <w:rsid w:val="006B2CAD"/>
    <w:rsid w:val="006B2F0A"/>
    <w:rsid w:val="006B3966"/>
    <w:rsid w:val="006B5799"/>
    <w:rsid w:val="006B5CBF"/>
    <w:rsid w:val="006B6048"/>
    <w:rsid w:val="006B6203"/>
    <w:rsid w:val="006B6C05"/>
    <w:rsid w:val="006B6FC1"/>
    <w:rsid w:val="006B73CE"/>
    <w:rsid w:val="006C0527"/>
    <w:rsid w:val="006C1232"/>
    <w:rsid w:val="006C185A"/>
    <w:rsid w:val="006C1988"/>
    <w:rsid w:val="006C29A6"/>
    <w:rsid w:val="006C45A4"/>
    <w:rsid w:val="006C5300"/>
    <w:rsid w:val="006C5494"/>
    <w:rsid w:val="006C7C07"/>
    <w:rsid w:val="006D063C"/>
    <w:rsid w:val="006D12BC"/>
    <w:rsid w:val="006D186B"/>
    <w:rsid w:val="006D1FC0"/>
    <w:rsid w:val="006D21C5"/>
    <w:rsid w:val="006D2969"/>
    <w:rsid w:val="006D47C6"/>
    <w:rsid w:val="006D4D47"/>
    <w:rsid w:val="006D4DAD"/>
    <w:rsid w:val="006D5029"/>
    <w:rsid w:val="006D66FE"/>
    <w:rsid w:val="006D790A"/>
    <w:rsid w:val="006D7FAE"/>
    <w:rsid w:val="006E0555"/>
    <w:rsid w:val="006E05F6"/>
    <w:rsid w:val="006E09FB"/>
    <w:rsid w:val="006E15AA"/>
    <w:rsid w:val="006E20CC"/>
    <w:rsid w:val="006E2CBC"/>
    <w:rsid w:val="006E2FAE"/>
    <w:rsid w:val="006E3AEB"/>
    <w:rsid w:val="006E4477"/>
    <w:rsid w:val="006E5747"/>
    <w:rsid w:val="006E581B"/>
    <w:rsid w:val="006E59E2"/>
    <w:rsid w:val="006E7990"/>
    <w:rsid w:val="006E7A38"/>
    <w:rsid w:val="006F0C58"/>
    <w:rsid w:val="006F1CFC"/>
    <w:rsid w:val="006F2480"/>
    <w:rsid w:val="006F2605"/>
    <w:rsid w:val="006F280A"/>
    <w:rsid w:val="006F29B8"/>
    <w:rsid w:val="006F44FB"/>
    <w:rsid w:val="006F4ACD"/>
    <w:rsid w:val="006F57B6"/>
    <w:rsid w:val="006F5EE5"/>
    <w:rsid w:val="006F67A4"/>
    <w:rsid w:val="006F739C"/>
    <w:rsid w:val="006F758A"/>
    <w:rsid w:val="006F787C"/>
    <w:rsid w:val="006F7913"/>
    <w:rsid w:val="006F7F20"/>
    <w:rsid w:val="0070006C"/>
    <w:rsid w:val="00700AF2"/>
    <w:rsid w:val="00700C06"/>
    <w:rsid w:val="00700E5F"/>
    <w:rsid w:val="0070121D"/>
    <w:rsid w:val="007014CE"/>
    <w:rsid w:val="007017C5"/>
    <w:rsid w:val="0070194B"/>
    <w:rsid w:val="00701E4D"/>
    <w:rsid w:val="007026FF"/>
    <w:rsid w:val="00702ADB"/>
    <w:rsid w:val="007034C6"/>
    <w:rsid w:val="00703ED7"/>
    <w:rsid w:val="00705402"/>
    <w:rsid w:val="00705C17"/>
    <w:rsid w:val="0070601C"/>
    <w:rsid w:val="00706C64"/>
    <w:rsid w:val="00710D11"/>
    <w:rsid w:val="007115DF"/>
    <w:rsid w:val="007117F1"/>
    <w:rsid w:val="00711DBA"/>
    <w:rsid w:val="00712095"/>
    <w:rsid w:val="00712335"/>
    <w:rsid w:val="00712752"/>
    <w:rsid w:val="00712E19"/>
    <w:rsid w:val="007130B1"/>
    <w:rsid w:val="0071337F"/>
    <w:rsid w:val="0071733C"/>
    <w:rsid w:val="00720589"/>
    <w:rsid w:val="007208E1"/>
    <w:rsid w:val="00720CF6"/>
    <w:rsid w:val="007232A2"/>
    <w:rsid w:val="00723E91"/>
    <w:rsid w:val="007258A7"/>
    <w:rsid w:val="00725B7A"/>
    <w:rsid w:val="00725BA5"/>
    <w:rsid w:val="00726012"/>
    <w:rsid w:val="00726063"/>
    <w:rsid w:val="00726131"/>
    <w:rsid w:val="007261B1"/>
    <w:rsid w:val="00726908"/>
    <w:rsid w:val="00726A47"/>
    <w:rsid w:val="00727EA5"/>
    <w:rsid w:val="00732E32"/>
    <w:rsid w:val="007347B0"/>
    <w:rsid w:val="00734BB4"/>
    <w:rsid w:val="007353F7"/>
    <w:rsid w:val="00735554"/>
    <w:rsid w:val="007355F6"/>
    <w:rsid w:val="00735898"/>
    <w:rsid w:val="00736C0B"/>
    <w:rsid w:val="00736EF6"/>
    <w:rsid w:val="00737047"/>
    <w:rsid w:val="00737417"/>
    <w:rsid w:val="007377DD"/>
    <w:rsid w:val="00737EE1"/>
    <w:rsid w:val="0074095C"/>
    <w:rsid w:val="0074153B"/>
    <w:rsid w:val="00741570"/>
    <w:rsid w:val="007427A7"/>
    <w:rsid w:val="007432AD"/>
    <w:rsid w:val="007433FF"/>
    <w:rsid w:val="00743465"/>
    <w:rsid w:val="00743599"/>
    <w:rsid w:val="00745D47"/>
    <w:rsid w:val="007467D0"/>
    <w:rsid w:val="0075050D"/>
    <w:rsid w:val="00750AF1"/>
    <w:rsid w:val="007534E5"/>
    <w:rsid w:val="007540FB"/>
    <w:rsid w:val="007547B9"/>
    <w:rsid w:val="00755D05"/>
    <w:rsid w:val="00757ACE"/>
    <w:rsid w:val="007603DB"/>
    <w:rsid w:val="00760BED"/>
    <w:rsid w:val="0076334A"/>
    <w:rsid w:val="00763409"/>
    <w:rsid w:val="0076351E"/>
    <w:rsid w:val="00763558"/>
    <w:rsid w:val="00763743"/>
    <w:rsid w:val="0076380D"/>
    <w:rsid w:val="007640A2"/>
    <w:rsid w:val="00764123"/>
    <w:rsid w:val="00764189"/>
    <w:rsid w:val="00765F0D"/>
    <w:rsid w:val="0076661E"/>
    <w:rsid w:val="007679E7"/>
    <w:rsid w:val="00770B3A"/>
    <w:rsid w:val="00770BEA"/>
    <w:rsid w:val="0077426F"/>
    <w:rsid w:val="00774E29"/>
    <w:rsid w:val="00774EAC"/>
    <w:rsid w:val="0077507A"/>
    <w:rsid w:val="00775DAC"/>
    <w:rsid w:val="00775DF4"/>
    <w:rsid w:val="00776B6E"/>
    <w:rsid w:val="00777617"/>
    <w:rsid w:val="00777B8A"/>
    <w:rsid w:val="00777D57"/>
    <w:rsid w:val="00777D6E"/>
    <w:rsid w:val="00780351"/>
    <w:rsid w:val="007805B6"/>
    <w:rsid w:val="00782928"/>
    <w:rsid w:val="007843F0"/>
    <w:rsid w:val="0078468D"/>
    <w:rsid w:val="0078502A"/>
    <w:rsid w:val="007857D2"/>
    <w:rsid w:val="0078699E"/>
    <w:rsid w:val="00786FD8"/>
    <w:rsid w:val="00787504"/>
    <w:rsid w:val="00787F03"/>
    <w:rsid w:val="007904B1"/>
    <w:rsid w:val="007904D5"/>
    <w:rsid w:val="00790B79"/>
    <w:rsid w:val="00790EEE"/>
    <w:rsid w:val="007923AB"/>
    <w:rsid w:val="00792612"/>
    <w:rsid w:val="00792B14"/>
    <w:rsid w:val="00792D34"/>
    <w:rsid w:val="00794204"/>
    <w:rsid w:val="00796220"/>
    <w:rsid w:val="0079640D"/>
    <w:rsid w:val="00796EBE"/>
    <w:rsid w:val="0079772D"/>
    <w:rsid w:val="007A0900"/>
    <w:rsid w:val="007A17C0"/>
    <w:rsid w:val="007A2166"/>
    <w:rsid w:val="007A22C3"/>
    <w:rsid w:val="007A260F"/>
    <w:rsid w:val="007A3169"/>
    <w:rsid w:val="007A37D3"/>
    <w:rsid w:val="007A457A"/>
    <w:rsid w:val="007A5AB1"/>
    <w:rsid w:val="007A7431"/>
    <w:rsid w:val="007A7F45"/>
    <w:rsid w:val="007B036F"/>
    <w:rsid w:val="007B194F"/>
    <w:rsid w:val="007B1D3B"/>
    <w:rsid w:val="007B2BEC"/>
    <w:rsid w:val="007B2D65"/>
    <w:rsid w:val="007B32F9"/>
    <w:rsid w:val="007B3BAA"/>
    <w:rsid w:val="007B48DF"/>
    <w:rsid w:val="007B56FE"/>
    <w:rsid w:val="007B5847"/>
    <w:rsid w:val="007C0A7D"/>
    <w:rsid w:val="007C0BF8"/>
    <w:rsid w:val="007C0D11"/>
    <w:rsid w:val="007C113E"/>
    <w:rsid w:val="007C17DD"/>
    <w:rsid w:val="007C1CD2"/>
    <w:rsid w:val="007C2000"/>
    <w:rsid w:val="007C2E1E"/>
    <w:rsid w:val="007C2FC5"/>
    <w:rsid w:val="007C3B9A"/>
    <w:rsid w:val="007C41C4"/>
    <w:rsid w:val="007C4720"/>
    <w:rsid w:val="007C4C56"/>
    <w:rsid w:val="007C5135"/>
    <w:rsid w:val="007C5D31"/>
    <w:rsid w:val="007C6078"/>
    <w:rsid w:val="007C7101"/>
    <w:rsid w:val="007C73A1"/>
    <w:rsid w:val="007C742D"/>
    <w:rsid w:val="007C7F1F"/>
    <w:rsid w:val="007D0424"/>
    <w:rsid w:val="007D0570"/>
    <w:rsid w:val="007D1307"/>
    <w:rsid w:val="007D1451"/>
    <w:rsid w:val="007D1FF4"/>
    <w:rsid w:val="007D4CA7"/>
    <w:rsid w:val="007D4E58"/>
    <w:rsid w:val="007D62FA"/>
    <w:rsid w:val="007D6D59"/>
    <w:rsid w:val="007D7751"/>
    <w:rsid w:val="007D79DC"/>
    <w:rsid w:val="007E1BE2"/>
    <w:rsid w:val="007E22C3"/>
    <w:rsid w:val="007E3BA3"/>
    <w:rsid w:val="007E462C"/>
    <w:rsid w:val="007E5210"/>
    <w:rsid w:val="007E5576"/>
    <w:rsid w:val="007E58A6"/>
    <w:rsid w:val="007E63D2"/>
    <w:rsid w:val="007E6BD1"/>
    <w:rsid w:val="007F0987"/>
    <w:rsid w:val="007F1763"/>
    <w:rsid w:val="007F3431"/>
    <w:rsid w:val="007F3691"/>
    <w:rsid w:val="007F4471"/>
    <w:rsid w:val="007F45D1"/>
    <w:rsid w:val="007F4C62"/>
    <w:rsid w:val="007F5DB7"/>
    <w:rsid w:val="007F605E"/>
    <w:rsid w:val="007F622B"/>
    <w:rsid w:val="007F63E8"/>
    <w:rsid w:val="007F6CB6"/>
    <w:rsid w:val="007F7C6B"/>
    <w:rsid w:val="007F7DFD"/>
    <w:rsid w:val="00800FA4"/>
    <w:rsid w:val="00801692"/>
    <w:rsid w:val="008024DB"/>
    <w:rsid w:val="00802C0D"/>
    <w:rsid w:val="00802C92"/>
    <w:rsid w:val="00802DBB"/>
    <w:rsid w:val="00805526"/>
    <w:rsid w:val="0080592F"/>
    <w:rsid w:val="00805CB7"/>
    <w:rsid w:val="0080624B"/>
    <w:rsid w:val="00806B63"/>
    <w:rsid w:val="0080750A"/>
    <w:rsid w:val="00807DAF"/>
    <w:rsid w:val="008101ED"/>
    <w:rsid w:val="008108B9"/>
    <w:rsid w:val="008109C1"/>
    <w:rsid w:val="00812044"/>
    <w:rsid w:val="00813268"/>
    <w:rsid w:val="00813CAE"/>
    <w:rsid w:val="00814759"/>
    <w:rsid w:val="00814FD1"/>
    <w:rsid w:val="00815056"/>
    <w:rsid w:val="00815BD8"/>
    <w:rsid w:val="00815CBC"/>
    <w:rsid w:val="008211E2"/>
    <w:rsid w:val="008227F8"/>
    <w:rsid w:val="00822EB6"/>
    <w:rsid w:val="00824471"/>
    <w:rsid w:val="00824491"/>
    <w:rsid w:val="00824B32"/>
    <w:rsid w:val="00824B4B"/>
    <w:rsid w:val="008262B6"/>
    <w:rsid w:val="00830E9A"/>
    <w:rsid w:val="008327BB"/>
    <w:rsid w:val="0083296D"/>
    <w:rsid w:val="00832A49"/>
    <w:rsid w:val="00833286"/>
    <w:rsid w:val="008336A2"/>
    <w:rsid w:val="00833F09"/>
    <w:rsid w:val="00835BB4"/>
    <w:rsid w:val="00836248"/>
    <w:rsid w:val="008363F6"/>
    <w:rsid w:val="00842FEC"/>
    <w:rsid w:val="00843498"/>
    <w:rsid w:val="0084479D"/>
    <w:rsid w:val="0084573C"/>
    <w:rsid w:val="00845CAC"/>
    <w:rsid w:val="00846908"/>
    <w:rsid w:val="0084701E"/>
    <w:rsid w:val="00847240"/>
    <w:rsid w:val="008503BC"/>
    <w:rsid w:val="00851A45"/>
    <w:rsid w:val="00851F92"/>
    <w:rsid w:val="008520B6"/>
    <w:rsid w:val="00852729"/>
    <w:rsid w:val="00852DE6"/>
    <w:rsid w:val="0085300F"/>
    <w:rsid w:val="008531F9"/>
    <w:rsid w:val="00853438"/>
    <w:rsid w:val="00854640"/>
    <w:rsid w:val="00855AFA"/>
    <w:rsid w:val="0085619C"/>
    <w:rsid w:val="00857150"/>
    <w:rsid w:val="008619B1"/>
    <w:rsid w:val="00861CED"/>
    <w:rsid w:val="00862D68"/>
    <w:rsid w:val="00863032"/>
    <w:rsid w:val="00863C06"/>
    <w:rsid w:val="00863E53"/>
    <w:rsid w:val="0086420D"/>
    <w:rsid w:val="008667D1"/>
    <w:rsid w:val="00866DAF"/>
    <w:rsid w:val="008676BE"/>
    <w:rsid w:val="008678DA"/>
    <w:rsid w:val="00870343"/>
    <w:rsid w:val="00870FE4"/>
    <w:rsid w:val="00871853"/>
    <w:rsid w:val="00871DD2"/>
    <w:rsid w:val="00872E67"/>
    <w:rsid w:val="00873057"/>
    <w:rsid w:val="0087316C"/>
    <w:rsid w:val="008733D9"/>
    <w:rsid w:val="008735C7"/>
    <w:rsid w:val="00873C1D"/>
    <w:rsid w:val="00874903"/>
    <w:rsid w:val="00874C4A"/>
    <w:rsid w:val="00874E02"/>
    <w:rsid w:val="0087633A"/>
    <w:rsid w:val="0088120A"/>
    <w:rsid w:val="0088168E"/>
    <w:rsid w:val="00881ABE"/>
    <w:rsid w:val="0088263F"/>
    <w:rsid w:val="00884FEE"/>
    <w:rsid w:val="00885EC5"/>
    <w:rsid w:val="00886214"/>
    <w:rsid w:val="0088687D"/>
    <w:rsid w:val="00886BC6"/>
    <w:rsid w:val="008879D2"/>
    <w:rsid w:val="008901F2"/>
    <w:rsid w:val="00890798"/>
    <w:rsid w:val="008914A1"/>
    <w:rsid w:val="00891A82"/>
    <w:rsid w:val="00892D87"/>
    <w:rsid w:val="00893C24"/>
    <w:rsid w:val="00894A57"/>
    <w:rsid w:val="008954B6"/>
    <w:rsid w:val="008954FE"/>
    <w:rsid w:val="0089575C"/>
    <w:rsid w:val="00895BBA"/>
    <w:rsid w:val="00896ECA"/>
    <w:rsid w:val="00897D82"/>
    <w:rsid w:val="008A134D"/>
    <w:rsid w:val="008A2158"/>
    <w:rsid w:val="008A285D"/>
    <w:rsid w:val="008A3609"/>
    <w:rsid w:val="008A3903"/>
    <w:rsid w:val="008A4D2D"/>
    <w:rsid w:val="008A5183"/>
    <w:rsid w:val="008A5CD8"/>
    <w:rsid w:val="008A61EE"/>
    <w:rsid w:val="008A62F6"/>
    <w:rsid w:val="008A6F06"/>
    <w:rsid w:val="008A7A99"/>
    <w:rsid w:val="008B0D33"/>
    <w:rsid w:val="008B12C7"/>
    <w:rsid w:val="008B1906"/>
    <w:rsid w:val="008B1EA7"/>
    <w:rsid w:val="008B20D8"/>
    <w:rsid w:val="008B3646"/>
    <w:rsid w:val="008B36E3"/>
    <w:rsid w:val="008B4806"/>
    <w:rsid w:val="008B4F07"/>
    <w:rsid w:val="008B6969"/>
    <w:rsid w:val="008B793C"/>
    <w:rsid w:val="008C00E4"/>
    <w:rsid w:val="008C0ED0"/>
    <w:rsid w:val="008C18EE"/>
    <w:rsid w:val="008C22EB"/>
    <w:rsid w:val="008C2544"/>
    <w:rsid w:val="008C2E58"/>
    <w:rsid w:val="008C3978"/>
    <w:rsid w:val="008C39D8"/>
    <w:rsid w:val="008C3F49"/>
    <w:rsid w:val="008C40BA"/>
    <w:rsid w:val="008C4B5C"/>
    <w:rsid w:val="008C4F38"/>
    <w:rsid w:val="008C5173"/>
    <w:rsid w:val="008C5797"/>
    <w:rsid w:val="008C5D5C"/>
    <w:rsid w:val="008C646B"/>
    <w:rsid w:val="008C72EA"/>
    <w:rsid w:val="008D1E4D"/>
    <w:rsid w:val="008D1F59"/>
    <w:rsid w:val="008D21D9"/>
    <w:rsid w:val="008D2780"/>
    <w:rsid w:val="008D3120"/>
    <w:rsid w:val="008D452A"/>
    <w:rsid w:val="008D4C88"/>
    <w:rsid w:val="008D553A"/>
    <w:rsid w:val="008D71C9"/>
    <w:rsid w:val="008D72F7"/>
    <w:rsid w:val="008D79B5"/>
    <w:rsid w:val="008E08CC"/>
    <w:rsid w:val="008E274E"/>
    <w:rsid w:val="008E27C2"/>
    <w:rsid w:val="008E31B9"/>
    <w:rsid w:val="008E3B3F"/>
    <w:rsid w:val="008E3CA3"/>
    <w:rsid w:val="008E4030"/>
    <w:rsid w:val="008E4091"/>
    <w:rsid w:val="008E493A"/>
    <w:rsid w:val="008E4AB4"/>
    <w:rsid w:val="008E4FA0"/>
    <w:rsid w:val="008E6FE1"/>
    <w:rsid w:val="008E7757"/>
    <w:rsid w:val="008F021C"/>
    <w:rsid w:val="008F1E0A"/>
    <w:rsid w:val="008F1ED2"/>
    <w:rsid w:val="008F2FF0"/>
    <w:rsid w:val="008F32AC"/>
    <w:rsid w:val="008F3758"/>
    <w:rsid w:val="008F3F5F"/>
    <w:rsid w:val="008F4EF4"/>
    <w:rsid w:val="008F5E87"/>
    <w:rsid w:val="008F6323"/>
    <w:rsid w:val="008F66A1"/>
    <w:rsid w:val="008F6B46"/>
    <w:rsid w:val="008F73E0"/>
    <w:rsid w:val="008F7A94"/>
    <w:rsid w:val="009001C1"/>
    <w:rsid w:val="009015D1"/>
    <w:rsid w:val="00902129"/>
    <w:rsid w:val="00902B04"/>
    <w:rsid w:val="00902F89"/>
    <w:rsid w:val="0090351E"/>
    <w:rsid w:val="009045DA"/>
    <w:rsid w:val="00904EBD"/>
    <w:rsid w:val="00905D8F"/>
    <w:rsid w:val="00906FF5"/>
    <w:rsid w:val="009114A9"/>
    <w:rsid w:val="009123AE"/>
    <w:rsid w:val="0091273E"/>
    <w:rsid w:val="00913241"/>
    <w:rsid w:val="0091382B"/>
    <w:rsid w:val="009138C4"/>
    <w:rsid w:val="00914130"/>
    <w:rsid w:val="009143F9"/>
    <w:rsid w:val="00914462"/>
    <w:rsid w:val="00914877"/>
    <w:rsid w:val="009171EE"/>
    <w:rsid w:val="009174F0"/>
    <w:rsid w:val="00920496"/>
    <w:rsid w:val="0092095E"/>
    <w:rsid w:val="00920C81"/>
    <w:rsid w:val="00920D89"/>
    <w:rsid w:val="00921263"/>
    <w:rsid w:val="0092178C"/>
    <w:rsid w:val="0092230C"/>
    <w:rsid w:val="00924D19"/>
    <w:rsid w:val="009278A3"/>
    <w:rsid w:val="009279E7"/>
    <w:rsid w:val="00930940"/>
    <w:rsid w:val="009314A3"/>
    <w:rsid w:val="00931576"/>
    <w:rsid w:val="00931F25"/>
    <w:rsid w:val="00934768"/>
    <w:rsid w:val="009348D1"/>
    <w:rsid w:val="0093519F"/>
    <w:rsid w:val="009375B8"/>
    <w:rsid w:val="00941EA9"/>
    <w:rsid w:val="0094303F"/>
    <w:rsid w:val="009444A8"/>
    <w:rsid w:val="009458DC"/>
    <w:rsid w:val="009458E6"/>
    <w:rsid w:val="00946471"/>
    <w:rsid w:val="00946B25"/>
    <w:rsid w:val="00946D61"/>
    <w:rsid w:val="00946E9A"/>
    <w:rsid w:val="0094709D"/>
    <w:rsid w:val="009475EF"/>
    <w:rsid w:val="0095069E"/>
    <w:rsid w:val="0095088F"/>
    <w:rsid w:val="00950EFB"/>
    <w:rsid w:val="0095253F"/>
    <w:rsid w:val="00954678"/>
    <w:rsid w:val="0095526D"/>
    <w:rsid w:val="009571F6"/>
    <w:rsid w:val="00960082"/>
    <w:rsid w:val="00960D9B"/>
    <w:rsid w:val="0096122B"/>
    <w:rsid w:val="00962588"/>
    <w:rsid w:val="00962F90"/>
    <w:rsid w:val="00963709"/>
    <w:rsid w:val="00963AD0"/>
    <w:rsid w:val="009643DC"/>
    <w:rsid w:val="00965198"/>
    <w:rsid w:val="00965D86"/>
    <w:rsid w:val="00965F97"/>
    <w:rsid w:val="00966EF8"/>
    <w:rsid w:val="0096737D"/>
    <w:rsid w:val="00967C3D"/>
    <w:rsid w:val="009709AF"/>
    <w:rsid w:val="00971187"/>
    <w:rsid w:val="009717FF"/>
    <w:rsid w:val="00973622"/>
    <w:rsid w:val="00973CAA"/>
    <w:rsid w:val="00974A6E"/>
    <w:rsid w:val="0097557E"/>
    <w:rsid w:val="00976871"/>
    <w:rsid w:val="00976E42"/>
    <w:rsid w:val="00976F89"/>
    <w:rsid w:val="0097715A"/>
    <w:rsid w:val="00977B15"/>
    <w:rsid w:val="009828C9"/>
    <w:rsid w:val="009834A7"/>
    <w:rsid w:val="009837AF"/>
    <w:rsid w:val="0098408E"/>
    <w:rsid w:val="00984331"/>
    <w:rsid w:val="00986C39"/>
    <w:rsid w:val="009901E5"/>
    <w:rsid w:val="0099036C"/>
    <w:rsid w:val="00990A37"/>
    <w:rsid w:val="00991AAE"/>
    <w:rsid w:val="00991C46"/>
    <w:rsid w:val="00991F51"/>
    <w:rsid w:val="009921D8"/>
    <w:rsid w:val="00993052"/>
    <w:rsid w:val="0099312E"/>
    <w:rsid w:val="00994DF9"/>
    <w:rsid w:val="00995032"/>
    <w:rsid w:val="00995510"/>
    <w:rsid w:val="0099684C"/>
    <w:rsid w:val="00997B52"/>
    <w:rsid w:val="009A1832"/>
    <w:rsid w:val="009A18A9"/>
    <w:rsid w:val="009A2A2F"/>
    <w:rsid w:val="009A2CD9"/>
    <w:rsid w:val="009A35BC"/>
    <w:rsid w:val="009A3869"/>
    <w:rsid w:val="009A40B9"/>
    <w:rsid w:val="009A51CA"/>
    <w:rsid w:val="009A595B"/>
    <w:rsid w:val="009A703A"/>
    <w:rsid w:val="009A70EB"/>
    <w:rsid w:val="009A7E42"/>
    <w:rsid w:val="009B076E"/>
    <w:rsid w:val="009B1FF4"/>
    <w:rsid w:val="009B2625"/>
    <w:rsid w:val="009B26C9"/>
    <w:rsid w:val="009B27DD"/>
    <w:rsid w:val="009B31BD"/>
    <w:rsid w:val="009B32EE"/>
    <w:rsid w:val="009B41E2"/>
    <w:rsid w:val="009B6537"/>
    <w:rsid w:val="009B6884"/>
    <w:rsid w:val="009B7203"/>
    <w:rsid w:val="009B7496"/>
    <w:rsid w:val="009B74AB"/>
    <w:rsid w:val="009B7BB7"/>
    <w:rsid w:val="009C0349"/>
    <w:rsid w:val="009C1C8B"/>
    <w:rsid w:val="009C1D35"/>
    <w:rsid w:val="009C3DFC"/>
    <w:rsid w:val="009C494C"/>
    <w:rsid w:val="009C4B81"/>
    <w:rsid w:val="009C5780"/>
    <w:rsid w:val="009C67A1"/>
    <w:rsid w:val="009C7319"/>
    <w:rsid w:val="009C7388"/>
    <w:rsid w:val="009C7B60"/>
    <w:rsid w:val="009D0FE4"/>
    <w:rsid w:val="009D11FF"/>
    <w:rsid w:val="009D1285"/>
    <w:rsid w:val="009D141D"/>
    <w:rsid w:val="009D24A4"/>
    <w:rsid w:val="009D29CA"/>
    <w:rsid w:val="009D3054"/>
    <w:rsid w:val="009D3154"/>
    <w:rsid w:val="009D31FF"/>
    <w:rsid w:val="009D4DE2"/>
    <w:rsid w:val="009D674C"/>
    <w:rsid w:val="009E06B8"/>
    <w:rsid w:val="009E132E"/>
    <w:rsid w:val="009E15DE"/>
    <w:rsid w:val="009E1FC2"/>
    <w:rsid w:val="009E3A82"/>
    <w:rsid w:val="009E4085"/>
    <w:rsid w:val="009E4601"/>
    <w:rsid w:val="009E4B00"/>
    <w:rsid w:val="009E4DB1"/>
    <w:rsid w:val="009E5F0E"/>
    <w:rsid w:val="009E61C8"/>
    <w:rsid w:val="009E6254"/>
    <w:rsid w:val="009E675C"/>
    <w:rsid w:val="009F0344"/>
    <w:rsid w:val="009F0570"/>
    <w:rsid w:val="009F103D"/>
    <w:rsid w:val="009F1A11"/>
    <w:rsid w:val="009F1F68"/>
    <w:rsid w:val="009F2AC8"/>
    <w:rsid w:val="009F49DD"/>
    <w:rsid w:val="009F4D8D"/>
    <w:rsid w:val="009F4DBB"/>
    <w:rsid w:val="009F6102"/>
    <w:rsid w:val="009F756B"/>
    <w:rsid w:val="009F7966"/>
    <w:rsid w:val="00A00D57"/>
    <w:rsid w:val="00A01434"/>
    <w:rsid w:val="00A016F9"/>
    <w:rsid w:val="00A020D5"/>
    <w:rsid w:val="00A02634"/>
    <w:rsid w:val="00A02946"/>
    <w:rsid w:val="00A02A80"/>
    <w:rsid w:val="00A030A6"/>
    <w:rsid w:val="00A03824"/>
    <w:rsid w:val="00A03EA5"/>
    <w:rsid w:val="00A05AEA"/>
    <w:rsid w:val="00A05EA3"/>
    <w:rsid w:val="00A07623"/>
    <w:rsid w:val="00A1027B"/>
    <w:rsid w:val="00A104B7"/>
    <w:rsid w:val="00A121F5"/>
    <w:rsid w:val="00A13D00"/>
    <w:rsid w:val="00A14AEE"/>
    <w:rsid w:val="00A14CCC"/>
    <w:rsid w:val="00A14EFD"/>
    <w:rsid w:val="00A1613F"/>
    <w:rsid w:val="00A17170"/>
    <w:rsid w:val="00A20D19"/>
    <w:rsid w:val="00A214A2"/>
    <w:rsid w:val="00A21739"/>
    <w:rsid w:val="00A2201F"/>
    <w:rsid w:val="00A221ED"/>
    <w:rsid w:val="00A23344"/>
    <w:rsid w:val="00A2450D"/>
    <w:rsid w:val="00A256F5"/>
    <w:rsid w:val="00A31B91"/>
    <w:rsid w:val="00A3294D"/>
    <w:rsid w:val="00A32CF5"/>
    <w:rsid w:val="00A32FFB"/>
    <w:rsid w:val="00A33882"/>
    <w:rsid w:val="00A340EC"/>
    <w:rsid w:val="00A344D9"/>
    <w:rsid w:val="00A36B00"/>
    <w:rsid w:val="00A36BA3"/>
    <w:rsid w:val="00A36BD5"/>
    <w:rsid w:val="00A417C2"/>
    <w:rsid w:val="00A41AEE"/>
    <w:rsid w:val="00A41D2B"/>
    <w:rsid w:val="00A42639"/>
    <w:rsid w:val="00A45351"/>
    <w:rsid w:val="00A463FB"/>
    <w:rsid w:val="00A46A3B"/>
    <w:rsid w:val="00A46B14"/>
    <w:rsid w:val="00A50A63"/>
    <w:rsid w:val="00A511A0"/>
    <w:rsid w:val="00A529A9"/>
    <w:rsid w:val="00A52D5C"/>
    <w:rsid w:val="00A52D95"/>
    <w:rsid w:val="00A53213"/>
    <w:rsid w:val="00A53704"/>
    <w:rsid w:val="00A55945"/>
    <w:rsid w:val="00A5680F"/>
    <w:rsid w:val="00A56B2F"/>
    <w:rsid w:val="00A56C7C"/>
    <w:rsid w:val="00A57559"/>
    <w:rsid w:val="00A575A2"/>
    <w:rsid w:val="00A57627"/>
    <w:rsid w:val="00A60233"/>
    <w:rsid w:val="00A610FF"/>
    <w:rsid w:val="00A6227D"/>
    <w:rsid w:val="00A636FE"/>
    <w:rsid w:val="00A6376E"/>
    <w:rsid w:val="00A63ACF"/>
    <w:rsid w:val="00A6469E"/>
    <w:rsid w:val="00A64C94"/>
    <w:rsid w:val="00A652FB"/>
    <w:rsid w:val="00A65965"/>
    <w:rsid w:val="00A66639"/>
    <w:rsid w:val="00A66B3E"/>
    <w:rsid w:val="00A66F4C"/>
    <w:rsid w:val="00A66F6B"/>
    <w:rsid w:val="00A67141"/>
    <w:rsid w:val="00A67944"/>
    <w:rsid w:val="00A67ABA"/>
    <w:rsid w:val="00A67F62"/>
    <w:rsid w:val="00A703F1"/>
    <w:rsid w:val="00A70DA3"/>
    <w:rsid w:val="00A719E0"/>
    <w:rsid w:val="00A71CA5"/>
    <w:rsid w:val="00A73A34"/>
    <w:rsid w:val="00A73F08"/>
    <w:rsid w:val="00A77069"/>
    <w:rsid w:val="00A77B35"/>
    <w:rsid w:val="00A8066A"/>
    <w:rsid w:val="00A81125"/>
    <w:rsid w:val="00A81F6B"/>
    <w:rsid w:val="00A83A5A"/>
    <w:rsid w:val="00A83A9E"/>
    <w:rsid w:val="00A83B32"/>
    <w:rsid w:val="00A8481C"/>
    <w:rsid w:val="00A84B44"/>
    <w:rsid w:val="00A84C23"/>
    <w:rsid w:val="00A84EFC"/>
    <w:rsid w:val="00A856E5"/>
    <w:rsid w:val="00A8610D"/>
    <w:rsid w:val="00A8691A"/>
    <w:rsid w:val="00A91CBA"/>
    <w:rsid w:val="00A92B3A"/>
    <w:rsid w:val="00A92D43"/>
    <w:rsid w:val="00A94C89"/>
    <w:rsid w:val="00A956A9"/>
    <w:rsid w:val="00A957B2"/>
    <w:rsid w:val="00A96DDD"/>
    <w:rsid w:val="00A9727A"/>
    <w:rsid w:val="00AA02A5"/>
    <w:rsid w:val="00AA0342"/>
    <w:rsid w:val="00AA05AF"/>
    <w:rsid w:val="00AA2065"/>
    <w:rsid w:val="00AA38DE"/>
    <w:rsid w:val="00AA3DA6"/>
    <w:rsid w:val="00AA424B"/>
    <w:rsid w:val="00AA4357"/>
    <w:rsid w:val="00AA4BE3"/>
    <w:rsid w:val="00AA4E23"/>
    <w:rsid w:val="00AA4FE0"/>
    <w:rsid w:val="00AA5E53"/>
    <w:rsid w:val="00AA6691"/>
    <w:rsid w:val="00AA6F1C"/>
    <w:rsid w:val="00AA735A"/>
    <w:rsid w:val="00AA7411"/>
    <w:rsid w:val="00AA7FFB"/>
    <w:rsid w:val="00AB02F3"/>
    <w:rsid w:val="00AB10F7"/>
    <w:rsid w:val="00AB131B"/>
    <w:rsid w:val="00AB17CC"/>
    <w:rsid w:val="00AB31C3"/>
    <w:rsid w:val="00AB382E"/>
    <w:rsid w:val="00AB3BE8"/>
    <w:rsid w:val="00AB3F8A"/>
    <w:rsid w:val="00AB4317"/>
    <w:rsid w:val="00AB4C0F"/>
    <w:rsid w:val="00AB50EC"/>
    <w:rsid w:val="00AB6405"/>
    <w:rsid w:val="00AB64DE"/>
    <w:rsid w:val="00AB76A7"/>
    <w:rsid w:val="00AC0991"/>
    <w:rsid w:val="00AC1803"/>
    <w:rsid w:val="00AC321D"/>
    <w:rsid w:val="00AC3617"/>
    <w:rsid w:val="00AC52CE"/>
    <w:rsid w:val="00AC6A67"/>
    <w:rsid w:val="00AD052F"/>
    <w:rsid w:val="00AD0FD9"/>
    <w:rsid w:val="00AD1491"/>
    <w:rsid w:val="00AD158A"/>
    <w:rsid w:val="00AD1F15"/>
    <w:rsid w:val="00AD3EB3"/>
    <w:rsid w:val="00AD4EAD"/>
    <w:rsid w:val="00AD56C2"/>
    <w:rsid w:val="00AD58A5"/>
    <w:rsid w:val="00AD5C5F"/>
    <w:rsid w:val="00AD680B"/>
    <w:rsid w:val="00AE04C4"/>
    <w:rsid w:val="00AE04FB"/>
    <w:rsid w:val="00AE11A8"/>
    <w:rsid w:val="00AE2299"/>
    <w:rsid w:val="00AE3958"/>
    <w:rsid w:val="00AE481D"/>
    <w:rsid w:val="00AE509A"/>
    <w:rsid w:val="00AE57A5"/>
    <w:rsid w:val="00AE62B7"/>
    <w:rsid w:val="00AF1E41"/>
    <w:rsid w:val="00AF2064"/>
    <w:rsid w:val="00AF24E8"/>
    <w:rsid w:val="00AF32BC"/>
    <w:rsid w:val="00AF34B2"/>
    <w:rsid w:val="00AF40C6"/>
    <w:rsid w:val="00AF4484"/>
    <w:rsid w:val="00AF4B76"/>
    <w:rsid w:val="00AF6397"/>
    <w:rsid w:val="00AF7691"/>
    <w:rsid w:val="00B00267"/>
    <w:rsid w:val="00B00AFE"/>
    <w:rsid w:val="00B012FF"/>
    <w:rsid w:val="00B034D1"/>
    <w:rsid w:val="00B03595"/>
    <w:rsid w:val="00B03779"/>
    <w:rsid w:val="00B03E60"/>
    <w:rsid w:val="00B05AA2"/>
    <w:rsid w:val="00B067C6"/>
    <w:rsid w:val="00B06AE6"/>
    <w:rsid w:val="00B06CF4"/>
    <w:rsid w:val="00B10F3E"/>
    <w:rsid w:val="00B11211"/>
    <w:rsid w:val="00B11758"/>
    <w:rsid w:val="00B1362B"/>
    <w:rsid w:val="00B15460"/>
    <w:rsid w:val="00B158D0"/>
    <w:rsid w:val="00B15DCF"/>
    <w:rsid w:val="00B1674B"/>
    <w:rsid w:val="00B1744D"/>
    <w:rsid w:val="00B175EE"/>
    <w:rsid w:val="00B1766A"/>
    <w:rsid w:val="00B17D2F"/>
    <w:rsid w:val="00B20778"/>
    <w:rsid w:val="00B20D69"/>
    <w:rsid w:val="00B21510"/>
    <w:rsid w:val="00B21BD2"/>
    <w:rsid w:val="00B21DB6"/>
    <w:rsid w:val="00B22511"/>
    <w:rsid w:val="00B22540"/>
    <w:rsid w:val="00B253C8"/>
    <w:rsid w:val="00B253E2"/>
    <w:rsid w:val="00B254EE"/>
    <w:rsid w:val="00B26071"/>
    <w:rsid w:val="00B265EC"/>
    <w:rsid w:val="00B2791A"/>
    <w:rsid w:val="00B27AB1"/>
    <w:rsid w:val="00B27E78"/>
    <w:rsid w:val="00B32C54"/>
    <w:rsid w:val="00B32E4B"/>
    <w:rsid w:val="00B334AC"/>
    <w:rsid w:val="00B3380F"/>
    <w:rsid w:val="00B34A8F"/>
    <w:rsid w:val="00B3539E"/>
    <w:rsid w:val="00B35D7F"/>
    <w:rsid w:val="00B373D8"/>
    <w:rsid w:val="00B37A3A"/>
    <w:rsid w:val="00B37DC8"/>
    <w:rsid w:val="00B4103F"/>
    <w:rsid w:val="00B41A93"/>
    <w:rsid w:val="00B44869"/>
    <w:rsid w:val="00B4576A"/>
    <w:rsid w:val="00B45C50"/>
    <w:rsid w:val="00B46907"/>
    <w:rsid w:val="00B47361"/>
    <w:rsid w:val="00B4756B"/>
    <w:rsid w:val="00B5017E"/>
    <w:rsid w:val="00B503DC"/>
    <w:rsid w:val="00B50652"/>
    <w:rsid w:val="00B51978"/>
    <w:rsid w:val="00B51F43"/>
    <w:rsid w:val="00B523E2"/>
    <w:rsid w:val="00B526B1"/>
    <w:rsid w:val="00B52AE6"/>
    <w:rsid w:val="00B52B59"/>
    <w:rsid w:val="00B53D12"/>
    <w:rsid w:val="00B53DEA"/>
    <w:rsid w:val="00B54043"/>
    <w:rsid w:val="00B548C1"/>
    <w:rsid w:val="00B54C9C"/>
    <w:rsid w:val="00B55110"/>
    <w:rsid w:val="00B5576A"/>
    <w:rsid w:val="00B56414"/>
    <w:rsid w:val="00B5657F"/>
    <w:rsid w:val="00B568A1"/>
    <w:rsid w:val="00B607BD"/>
    <w:rsid w:val="00B60B8F"/>
    <w:rsid w:val="00B60CF4"/>
    <w:rsid w:val="00B612EC"/>
    <w:rsid w:val="00B62D37"/>
    <w:rsid w:val="00B62E7D"/>
    <w:rsid w:val="00B643E5"/>
    <w:rsid w:val="00B644FC"/>
    <w:rsid w:val="00B64BF2"/>
    <w:rsid w:val="00B66332"/>
    <w:rsid w:val="00B66B56"/>
    <w:rsid w:val="00B672AB"/>
    <w:rsid w:val="00B67806"/>
    <w:rsid w:val="00B67C88"/>
    <w:rsid w:val="00B67D3F"/>
    <w:rsid w:val="00B70B60"/>
    <w:rsid w:val="00B713E2"/>
    <w:rsid w:val="00B71513"/>
    <w:rsid w:val="00B723B7"/>
    <w:rsid w:val="00B725EB"/>
    <w:rsid w:val="00B737C9"/>
    <w:rsid w:val="00B738FE"/>
    <w:rsid w:val="00B73985"/>
    <w:rsid w:val="00B73B44"/>
    <w:rsid w:val="00B74662"/>
    <w:rsid w:val="00B74A28"/>
    <w:rsid w:val="00B75750"/>
    <w:rsid w:val="00B75B73"/>
    <w:rsid w:val="00B75BA6"/>
    <w:rsid w:val="00B75EB7"/>
    <w:rsid w:val="00B761FC"/>
    <w:rsid w:val="00B765CB"/>
    <w:rsid w:val="00B7714E"/>
    <w:rsid w:val="00B7757B"/>
    <w:rsid w:val="00B7783F"/>
    <w:rsid w:val="00B77DBC"/>
    <w:rsid w:val="00B8045B"/>
    <w:rsid w:val="00B81081"/>
    <w:rsid w:val="00B826AB"/>
    <w:rsid w:val="00B82F94"/>
    <w:rsid w:val="00B834EF"/>
    <w:rsid w:val="00B83541"/>
    <w:rsid w:val="00B83A3F"/>
    <w:rsid w:val="00B84A90"/>
    <w:rsid w:val="00B84FCC"/>
    <w:rsid w:val="00B85A17"/>
    <w:rsid w:val="00B863AB"/>
    <w:rsid w:val="00B86678"/>
    <w:rsid w:val="00B866E1"/>
    <w:rsid w:val="00B87BF9"/>
    <w:rsid w:val="00B90577"/>
    <w:rsid w:val="00B9066E"/>
    <w:rsid w:val="00B90E81"/>
    <w:rsid w:val="00B9213E"/>
    <w:rsid w:val="00B9348E"/>
    <w:rsid w:val="00B957B9"/>
    <w:rsid w:val="00B965AB"/>
    <w:rsid w:val="00B96993"/>
    <w:rsid w:val="00B971F7"/>
    <w:rsid w:val="00B97671"/>
    <w:rsid w:val="00B97B95"/>
    <w:rsid w:val="00BA00F7"/>
    <w:rsid w:val="00BA0D02"/>
    <w:rsid w:val="00BA0FA5"/>
    <w:rsid w:val="00BA10D9"/>
    <w:rsid w:val="00BA1231"/>
    <w:rsid w:val="00BA1BA3"/>
    <w:rsid w:val="00BA2A04"/>
    <w:rsid w:val="00BA32AC"/>
    <w:rsid w:val="00BA36EF"/>
    <w:rsid w:val="00BA5F39"/>
    <w:rsid w:val="00BA60E5"/>
    <w:rsid w:val="00BA6E6B"/>
    <w:rsid w:val="00BA7002"/>
    <w:rsid w:val="00BA7866"/>
    <w:rsid w:val="00BA7882"/>
    <w:rsid w:val="00BB0528"/>
    <w:rsid w:val="00BB086E"/>
    <w:rsid w:val="00BB0BF7"/>
    <w:rsid w:val="00BB1AE7"/>
    <w:rsid w:val="00BB1D67"/>
    <w:rsid w:val="00BB3122"/>
    <w:rsid w:val="00BB34AC"/>
    <w:rsid w:val="00BB35F1"/>
    <w:rsid w:val="00BB36D2"/>
    <w:rsid w:val="00BB38A1"/>
    <w:rsid w:val="00BB516D"/>
    <w:rsid w:val="00BB518F"/>
    <w:rsid w:val="00BB5ADF"/>
    <w:rsid w:val="00BB5BCD"/>
    <w:rsid w:val="00BB65B9"/>
    <w:rsid w:val="00BB6613"/>
    <w:rsid w:val="00BB7053"/>
    <w:rsid w:val="00BB70FB"/>
    <w:rsid w:val="00BB79A4"/>
    <w:rsid w:val="00BC089A"/>
    <w:rsid w:val="00BC0D86"/>
    <w:rsid w:val="00BC1CD4"/>
    <w:rsid w:val="00BC1E70"/>
    <w:rsid w:val="00BC2CCD"/>
    <w:rsid w:val="00BC2CCE"/>
    <w:rsid w:val="00BC2D4F"/>
    <w:rsid w:val="00BC2DCA"/>
    <w:rsid w:val="00BC3067"/>
    <w:rsid w:val="00BC363D"/>
    <w:rsid w:val="00BC3692"/>
    <w:rsid w:val="00BC3DE3"/>
    <w:rsid w:val="00BC4288"/>
    <w:rsid w:val="00BC465E"/>
    <w:rsid w:val="00BC4782"/>
    <w:rsid w:val="00BC6B52"/>
    <w:rsid w:val="00BC7BB1"/>
    <w:rsid w:val="00BC7EE3"/>
    <w:rsid w:val="00BD0D0F"/>
    <w:rsid w:val="00BD125B"/>
    <w:rsid w:val="00BD1C5F"/>
    <w:rsid w:val="00BD1C99"/>
    <w:rsid w:val="00BD4B21"/>
    <w:rsid w:val="00BD5EB5"/>
    <w:rsid w:val="00BD60B5"/>
    <w:rsid w:val="00BD6FF1"/>
    <w:rsid w:val="00BD71F8"/>
    <w:rsid w:val="00BE0250"/>
    <w:rsid w:val="00BE30E5"/>
    <w:rsid w:val="00BE388B"/>
    <w:rsid w:val="00BE3BCC"/>
    <w:rsid w:val="00BE4754"/>
    <w:rsid w:val="00BE4818"/>
    <w:rsid w:val="00BE543A"/>
    <w:rsid w:val="00BE57B7"/>
    <w:rsid w:val="00BE582E"/>
    <w:rsid w:val="00BE5D2A"/>
    <w:rsid w:val="00BE62A9"/>
    <w:rsid w:val="00BE6CAC"/>
    <w:rsid w:val="00BE7108"/>
    <w:rsid w:val="00BF20A6"/>
    <w:rsid w:val="00BF3A26"/>
    <w:rsid w:val="00BF49D5"/>
    <w:rsid w:val="00C002FB"/>
    <w:rsid w:val="00C0191B"/>
    <w:rsid w:val="00C023B5"/>
    <w:rsid w:val="00C02A2A"/>
    <w:rsid w:val="00C03C7A"/>
    <w:rsid w:val="00C0414D"/>
    <w:rsid w:val="00C045AD"/>
    <w:rsid w:val="00C05DD5"/>
    <w:rsid w:val="00C067EC"/>
    <w:rsid w:val="00C06DC9"/>
    <w:rsid w:val="00C07DDB"/>
    <w:rsid w:val="00C10F3E"/>
    <w:rsid w:val="00C120B8"/>
    <w:rsid w:val="00C12138"/>
    <w:rsid w:val="00C124E7"/>
    <w:rsid w:val="00C12913"/>
    <w:rsid w:val="00C13BED"/>
    <w:rsid w:val="00C148DF"/>
    <w:rsid w:val="00C15B6F"/>
    <w:rsid w:val="00C15CA9"/>
    <w:rsid w:val="00C15D52"/>
    <w:rsid w:val="00C17499"/>
    <w:rsid w:val="00C175CE"/>
    <w:rsid w:val="00C17825"/>
    <w:rsid w:val="00C20F07"/>
    <w:rsid w:val="00C21788"/>
    <w:rsid w:val="00C218D1"/>
    <w:rsid w:val="00C221AC"/>
    <w:rsid w:val="00C22818"/>
    <w:rsid w:val="00C237F0"/>
    <w:rsid w:val="00C23B1C"/>
    <w:rsid w:val="00C23C94"/>
    <w:rsid w:val="00C25A25"/>
    <w:rsid w:val="00C25E48"/>
    <w:rsid w:val="00C27448"/>
    <w:rsid w:val="00C30364"/>
    <w:rsid w:val="00C31C8F"/>
    <w:rsid w:val="00C31E0C"/>
    <w:rsid w:val="00C33A6F"/>
    <w:rsid w:val="00C35A15"/>
    <w:rsid w:val="00C35AFB"/>
    <w:rsid w:val="00C36661"/>
    <w:rsid w:val="00C36A22"/>
    <w:rsid w:val="00C4097F"/>
    <w:rsid w:val="00C41570"/>
    <w:rsid w:val="00C4172B"/>
    <w:rsid w:val="00C4175C"/>
    <w:rsid w:val="00C41D2A"/>
    <w:rsid w:val="00C4207A"/>
    <w:rsid w:val="00C43081"/>
    <w:rsid w:val="00C44110"/>
    <w:rsid w:val="00C4575C"/>
    <w:rsid w:val="00C45D35"/>
    <w:rsid w:val="00C46848"/>
    <w:rsid w:val="00C47B5A"/>
    <w:rsid w:val="00C502B9"/>
    <w:rsid w:val="00C50454"/>
    <w:rsid w:val="00C50E48"/>
    <w:rsid w:val="00C52D62"/>
    <w:rsid w:val="00C53E5E"/>
    <w:rsid w:val="00C541D9"/>
    <w:rsid w:val="00C54735"/>
    <w:rsid w:val="00C5520A"/>
    <w:rsid w:val="00C5556D"/>
    <w:rsid w:val="00C56426"/>
    <w:rsid w:val="00C56B03"/>
    <w:rsid w:val="00C578C3"/>
    <w:rsid w:val="00C60142"/>
    <w:rsid w:val="00C6173D"/>
    <w:rsid w:val="00C61B44"/>
    <w:rsid w:val="00C62E98"/>
    <w:rsid w:val="00C63438"/>
    <w:rsid w:val="00C63DBE"/>
    <w:rsid w:val="00C643F6"/>
    <w:rsid w:val="00C6473B"/>
    <w:rsid w:val="00C648C9"/>
    <w:rsid w:val="00C657B4"/>
    <w:rsid w:val="00C657E4"/>
    <w:rsid w:val="00C65C15"/>
    <w:rsid w:val="00C67E04"/>
    <w:rsid w:val="00C708FC"/>
    <w:rsid w:val="00C70D07"/>
    <w:rsid w:val="00C722DA"/>
    <w:rsid w:val="00C727EC"/>
    <w:rsid w:val="00C735FA"/>
    <w:rsid w:val="00C746A8"/>
    <w:rsid w:val="00C74F20"/>
    <w:rsid w:val="00C765C1"/>
    <w:rsid w:val="00C76607"/>
    <w:rsid w:val="00C76CF6"/>
    <w:rsid w:val="00C77634"/>
    <w:rsid w:val="00C776EE"/>
    <w:rsid w:val="00C81896"/>
    <w:rsid w:val="00C8234D"/>
    <w:rsid w:val="00C8261E"/>
    <w:rsid w:val="00C82948"/>
    <w:rsid w:val="00C83394"/>
    <w:rsid w:val="00C833B1"/>
    <w:rsid w:val="00C83718"/>
    <w:rsid w:val="00C83E16"/>
    <w:rsid w:val="00C84198"/>
    <w:rsid w:val="00C845B0"/>
    <w:rsid w:val="00C84A05"/>
    <w:rsid w:val="00C84B8A"/>
    <w:rsid w:val="00C85211"/>
    <w:rsid w:val="00C85BF4"/>
    <w:rsid w:val="00C85EC1"/>
    <w:rsid w:val="00C9081A"/>
    <w:rsid w:val="00C90D06"/>
    <w:rsid w:val="00C90EB0"/>
    <w:rsid w:val="00C90F08"/>
    <w:rsid w:val="00C90F9F"/>
    <w:rsid w:val="00C93603"/>
    <w:rsid w:val="00C93EE9"/>
    <w:rsid w:val="00C96A32"/>
    <w:rsid w:val="00CA0A0E"/>
    <w:rsid w:val="00CA11F8"/>
    <w:rsid w:val="00CA19CB"/>
    <w:rsid w:val="00CA1B42"/>
    <w:rsid w:val="00CA1D66"/>
    <w:rsid w:val="00CA42E2"/>
    <w:rsid w:val="00CA45E4"/>
    <w:rsid w:val="00CA5162"/>
    <w:rsid w:val="00CA52DB"/>
    <w:rsid w:val="00CA5801"/>
    <w:rsid w:val="00CA68AB"/>
    <w:rsid w:val="00CA6D19"/>
    <w:rsid w:val="00CA6F62"/>
    <w:rsid w:val="00CA7306"/>
    <w:rsid w:val="00CA7BAD"/>
    <w:rsid w:val="00CB0BF4"/>
    <w:rsid w:val="00CB13BC"/>
    <w:rsid w:val="00CB1D22"/>
    <w:rsid w:val="00CB1EB8"/>
    <w:rsid w:val="00CB5FB3"/>
    <w:rsid w:val="00CB684A"/>
    <w:rsid w:val="00CB6E77"/>
    <w:rsid w:val="00CB734F"/>
    <w:rsid w:val="00CC03A5"/>
    <w:rsid w:val="00CC1091"/>
    <w:rsid w:val="00CC13AC"/>
    <w:rsid w:val="00CC1433"/>
    <w:rsid w:val="00CC1BB3"/>
    <w:rsid w:val="00CC225C"/>
    <w:rsid w:val="00CC2416"/>
    <w:rsid w:val="00CC27F8"/>
    <w:rsid w:val="00CC28AF"/>
    <w:rsid w:val="00CC293D"/>
    <w:rsid w:val="00CC3FF9"/>
    <w:rsid w:val="00CC4F2A"/>
    <w:rsid w:val="00CC6D85"/>
    <w:rsid w:val="00CC723C"/>
    <w:rsid w:val="00CD146D"/>
    <w:rsid w:val="00CD24A0"/>
    <w:rsid w:val="00CD29E6"/>
    <w:rsid w:val="00CD35FE"/>
    <w:rsid w:val="00CD36A3"/>
    <w:rsid w:val="00CD3821"/>
    <w:rsid w:val="00CD47CE"/>
    <w:rsid w:val="00CD5A62"/>
    <w:rsid w:val="00CD6230"/>
    <w:rsid w:val="00CD6330"/>
    <w:rsid w:val="00CD6F5A"/>
    <w:rsid w:val="00CD70E0"/>
    <w:rsid w:val="00CE0309"/>
    <w:rsid w:val="00CE14D0"/>
    <w:rsid w:val="00CE18C9"/>
    <w:rsid w:val="00CE18FE"/>
    <w:rsid w:val="00CE2CA8"/>
    <w:rsid w:val="00CE39A2"/>
    <w:rsid w:val="00CE461B"/>
    <w:rsid w:val="00CE6AD4"/>
    <w:rsid w:val="00CE6C48"/>
    <w:rsid w:val="00CE6EFA"/>
    <w:rsid w:val="00CE7153"/>
    <w:rsid w:val="00CE7D94"/>
    <w:rsid w:val="00CF02C0"/>
    <w:rsid w:val="00CF16BA"/>
    <w:rsid w:val="00CF3CC3"/>
    <w:rsid w:val="00CF53D6"/>
    <w:rsid w:val="00CF5740"/>
    <w:rsid w:val="00CF5E5D"/>
    <w:rsid w:val="00CF6359"/>
    <w:rsid w:val="00CF7BEF"/>
    <w:rsid w:val="00D0067B"/>
    <w:rsid w:val="00D00A5A"/>
    <w:rsid w:val="00D0109C"/>
    <w:rsid w:val="00D01861"/>
    <w:rsid w:val="00D024C2"/>
    <w:rsid w:val="00D039F1"/>
    <w:rsid w:val="00D06859"/>
    <w:rsid w:val="00D078E2"/>
    <w:rsid w:val="00D07C8C"/>
    <w:rsid w:val="00D10207"/>
    <w:rsid w:val="00D1144F"/>
    <w:rsid w:val="00D12BD4"/>
    <w:rsid w:val="00D12F6C"/>
    <w:rsid w:val="00D134F4"/>
    <w:rsid w:val="00D13F09"/>
    <w:rsid w:val="00D15DE5"/>
    <w:rsid w:val="00D16502"/>
    <w:rsid w:val="00D1675D"/>
    <w:rsid w:val="00D17915"/>
    <w:rsid w:val="00D206B2"/>
    <w:rsid w:val="00D21515"/>
    <w:rsid w:val="00D21A8C"/>
    <w:rsid w:val="00D220FF"/>
    <w:rsid w:val="00D23749"/>
    <w:rsid w:val="00D23C8D"/>
    <w:rsid w:val="00D24E93"/>
    <w:rsid w:val="00D25127"/>
    <w:rsid w:val="00D25701"/>
    <w:rsid w:val="00D25BF5"/>
    <w:rsid w:val="00D26816"/>
    <w:rsid w:val="00D27180"/>
    <w:rsid w:val="00D27884"/>
    <w:rsid w:val="00D30927"/>
    <w:rsid w:val="00D318DC"/>
    <w:rsid w:val="00D3320D"/>
    <w:rsid w:val="00D3344D"/>
    <w:rsid w:val="00D3351E"/>
    <w:rsid w:val="00D34396"/>
    <w:rsid w:val="00D347C4"/>
    <w:rsid w:val="00D35017"/>
    <w:rsid w:val="00D36B17"/>
    <w:rsid w:val="00D37CE4"/>
    <w:rsid w:val="00D4141F"/>
    <w:rsid w:val="00D41820"/>
    <w:rsid w:val="00D41D87"/>
    <w:rsid w:val="00D42018"/>
    <w:rsid w:val="00D426F5"/>
    <w:rsid w:val="00D43CBF"/>
    <w:rsid w:val="00D44190"/>
    <w:rsid w:val="00D458FC"/>
    <w:rsid w:val="00D467E3"/>
    <w:rsid w:val="00D504FB"/>
    <w:rsid w:val="00D5186A"/>
    <w:rsid w:val="00D5191E"/>
    <w:rsid w:val="00D522A2"/>
    <w:rsid w:val="00D52530"/>
    <w:rsid w:val="00D53AF4"/>
    <w:rsid w:val="00D54450"/>
    <w:rsid w:val="00D55225"/>
    <w:rsid w:val="00D55A3E"/>
    <w:rsid w:val="00D55B71"/>
    <w:rsid w:val="00D570FA"/>
    <w:rsid w:val="00D5784E"/>
    <w:rsid w:val="00D57C7A"/>
    <w:rsid w:val="00D6011A"/>
    <w:rsid w:val="00D620D1"/>
    <w:rsid w:val="00D62689"/>
    <w:rsid w:val="00D63090"/>
    <w:rsid w:val="00D64371"/>
    <w:rsid w:val="00D64B16"/>
    <w:rsid w:val="00D65431"/>
    <w:rsid w:val="00D65DE9"/>
    <w:rsid w:val="00D65E10"/>
    <w:rsid w:val="00D66442"/>
    <w:rsid w:val="00D66D33"/>
    <w:rsid w:val="00D67274"/>
    <w:rsid w:val="00D67AFE"/>
    <w:rsid w:val="00D70735"/>
    <w:rsid w:val="00D721E7"/>
    <w:rsid w:val="00D73A72"/>
    <w:rsid w:val="00D73FEF"/>
    <w:rsid w:val="00D751A1"/>
    <w:rsid w:val="00D7610D"/>
    <w:rsid w:val="00D76269"/>
    <w:rsid w:val="00D76BB2"/>
    <w:rsid w:val="00D76EA7"/>
    <w:rsid w:val="00D80885"/>
    <w:rsid w:val="00D813CA"/>
    <w:rsid w:val="00D81987"/>
    <w:rsid w:val="00D81A69"/>
    <w:rsid w:val="00D81DAC"/>
    <w:rsid w:val="00D82629"/>
    <w:rsid w:val="00D8302F"/>
    <w:rsid w:val="00D830C7"/>
    <w:rsid w:val="00D8316F"/>
    <w:rsid w:val="00D8322E"/>
    <w:rsid w:val="00D84647"/>
    <w:rsid w:val="00D85DB9"/>
    <w:rsid w:val="00D87447"/>
    <w:rsid w:val="00D9013C"/>
    <w:rsid w:val="00D90BA3"/>
    <w:rsid w:val="00D912E0"/>
    <w:rsid w:val="00D91C05"/>
    <w:rsid w:val="00D93910"/>
    <w:rsid w:val="00D95068"/>
    <w:rsid w:val="00D95808"/>
    <w:rsid w:val="00D95814"/>
    <w:rsid w:val="00D959F0"/>
    <w:rsid w:val="00D95D3D"/>
    <w:rsid w:val="00D9634E"/>
    <w:rsid w:val="00D97BE7"/>
    <w:rsid w:val="00DA02A5"/>
    <w:rsid w:val="00DA045B"/>
    <w:rsid w:val="00DA07EC"/>
    <w:rsid w:val="00DA07FB"/>
    <w:rsid w:val="00DA0914"/>
    <w:rsid w:val="00DA0A27"/>
    <w:rsid w:val="00DA1157"/>
    <w:rsid w:val="00DA1E9D"/>
    <w:rsid w:val="00DA3461"/>
    <w:rsid w:val="00DA436A"/>
    <w:rsid w:val="00DA4373"/>
    <w:rsid w:val="00DA4FB4"/>
    <w:rsid w:val="00DA5845"/>
    <w:rsid w:val="00DA5F03"/>
    <w:rsid w:val="00DA618E"/>
    <w:rsid w:val="00DA62C8"/>
    <w:rsid w:val="00DA673A"/>
    <w:rsid w:val="00DA6A9D"/>
    <w:rsid w:val="00DA6EB5"/>
    <w:rsid w:val="00DA7BF3"/>
    <w:rsid w:val="00DB0007"/>
    <w:rsid w:val="00DB06F5"/>
    <w:rsid w:val="00DB0B48"/>
    <w:rsid w:val="00DB227A"/>
    <w:rsid w:val="00DB30A9"/>
    <w:rsid w:val="00DB4235"/>
    <w:rsid w:val="00DB4C24"/>
    <w:rsid w:val="00DB4D78"/>
    <w:rsid w:val="00DB53B7"/>
    <w:rsid w:val="00DB5567"/>
    <w:rsid w:val="00DB6F5A"/>
    <w:rsid w:val="00DB770C"/>
    <w:rsid w:val="00DC085D"/>
    <w:rsid w:val="00DC0C9F"/>
    <w:rsid w:val="00DC0E3A"/>
    <w:rsid w:val="00DC12C9"/>
    <w:rsid w:val="00DC1769"/>
    <w:rsid w:val="00DC1934"/>
    <w:rsid w:val="00DC1BF7"/>
    <w:rsid w:val="00DC1C7C"/>
    <w:rsid w:val="00DC28DD"/>
    <w:rsid w:val="00DC35C6"/>
    <w:rsid w:val="00DC45A8"/>
    <w:rsid w:val="00DC5123"/>
    <w:rsid w:val="00DC5B05"/>
    <w:rsid w:val="00DC6078"/>
    <w:rsid w:val="00DC7E98"/>
    <w:rsid w:val="00DD07F0"/>
    <w:rsid w:val="00DD1784"/>
    <w:rsid w:val="00DD2A88"/>
    <w:rsid w:val="00DD30E2"/>
    <w:rsid w:val="00DD31EB"/>
    <w:rsid w:val="00DD4265"/>
    <w:rsid w:val="00DD4328"/>
    <w:rsid w:val="00DD4C47"/>
    <w:rsid w:val="00DD5C81"/>
    <w:rsid w:val="00DD5D23"/>
    <w:rsid w:val="00DD6F2E"/>
    <w:rsid w:val="00DE1CC1"/>
    <w:rsid w:val="00DE283A"/>
    <w:rsid w:val="00DE2DC7"/>
    <w:rsid w:val="00DE2FF9"/>
    <w:rsid w:val="00DE3009"/>
    <w:rsid w:val="00DE4085"/>
    <w:rsid w:val="00DE4399"/>
    <w:rsid w:val="00DE4AF0"/>
    <w:rsid w:val="00DE4FCB"/>
    <w:rsid w:val="00DE52E6"/>
    <w:rsid w:val="00DE562E"/>
    <w:rsid w:val="00DE5CB4"/>
    <w:rsid w:val="00DE6222"/>
    <w:rsid w:val="00DE6435"/>
    <w:rsid w:val="00DE7018"/>
    <w:rsid w:val="00DE7981"/>
    <w:rsid w:val="00DF0428"/>
    <w:rsid w:val="00DF1CBB"/>
    <w:rsid w:val="00DF225D"/>
    <w:rsid w:val="00DF3402"/>
    <w:rsid w:val="00DF428A"/>
    <w:rsid w:val="00DF7AE4"/>
    <w:rsid w:val="00DF7B16"/>
    <w:rsid w:val="00E00569"/>
    <w:rsid w:val="00E007B5"/>
    <w:rsid w:val="00E00CAB"/>
    <w:rsid w:val="00E0144E"/>
    <w:rsid w:val="00E01A50"/>
    <w:rsid w:val="00E01FB1"/>
    <w:rsid w:val="00E02295"/>
    <w:rsid w:val="00E025F9"/>
    <w:rsid w:val="00E029DA"/>
    <w:rsid w:val="00E02A1D"/>
    <w:rsid w:val="00E02E03"/>
    <w:rsid w:val="00E034E6"/>
    <w:rsid w:val="00E034ED"/>
    <w:rsid w:val="00E03590"/>
    <w:rsid w:val="00E03CFA"/>
    <w:rsid w:val="00E03ECB"/>
    <w:rsid w:val="00E03FD4"/>
    <w:rsid w:val="00E04242"/>
    <w:rsid w:val="00E04B98"/>
    <w:rsid w:val="00E04DA3"/>
    <w:rsid w:val="00E04DA8"/>
    <w:rsid w:val="00E0563F"/>
    <w:rsid w:val="00E05F6A"/>
    <w:rsid w:val="00E063DE"/>
    <w:rsid w:val="00E06B54"/>
    <w:rsid w:val="00E07128"/>
    <w:rsid w:val="00E07AFB"/>
    <w:rsid w:val="00E10633"/>
    <w:rsid w:val="00E11A21"/>
    <w:rsid w:val="00E120C3"/>
    <w:rsid w:val="00E12C9E"/>
    <w:rsid w:val="00E12CD1"/>
    <w:rsid w:val="00E1364B"/>
    <w:rsid w:val="00E1397C"/>
    <w:rsid w:val="00E139C0"/>
    <w:rsid w:val="00E14E03"/>
    <w:rsid w:val="00E14F38"/>
    <w:rsid w:val="00E16D0E"/>
    <w:rsid w:val="00E17B84"/>
    <w:rsid w:val="00E17C2A"/>
    <w:rsid w:val="00E17CAD"/>
    <w:rsid w:val="00E22294"/>
    <w:rsid w:val="00E22995"/>
    <w:rsid w:val="00E23583"/>
    <w:rsid w:val="00E2380E"/>
    <w:rsid w:val="00E23CCC"/>
    <w:rsid w:val="00E23D83"/>
    <w:rsid w:val="00E24755"/>
    <w:rsid w:val="00E249FE"/>
    <w:rsid w:val="00E25913"/>
    <w:rsid w:val="00E266A3"/>
    <w:rsid w:val="00E272F0"/>
    <w:rsid w:val="00E27344"/>
    <w:rsid w:val="00E302BC"/>
    <w:rsid w:val="00E30CC4"/>
    <w:rsid w:val="00E3173F"/>
    <w:rsid w:val="00E31BF9"/>
    <w:rsid w:val="00E31E2C"/>
    <w:rsid w:val="00E32226"/>
    <w:rsid w:val="00E3316F"/>
    <w:rsid w:val="00E33211"/>
    <w:rsid w:val="00E34BB2"/>
    <w:rsid w:val="00E34E9C"/>
    <w:rsid w:val="00E359F9"/>
    <w:rsid w:val="00E35B42"/>
    <w:rsid w:val="00E41B7F"/>
    <w:rsid w:val="00E41D25"/>
    <w:rsid w:val="00E422E1"/>
    <w:rsid w:val="00E439BD"/>
    <w:rsid w:val="00E447D8"/>
    <w:rsid w:val="00E44A12"/>
    <w:rsid w:val="00E45D22"/>
    <w:rsid w:val="00E468A3"/>
    <w:rsid w:val="00E46A1F"/>
    <w:rsid w:val="00E46F7D"/>
    <w:rsid w:val="00E47803"/>
    <w:rsid w:val="00E47A93"/>
    <w:rsid w:val="00E47EF8"/>
    <w:rsid w:val="00E50F04"/>
    <w:rsid w:val="00E511D1"/>
    <w:rsid w:val="00E530AB"/>
    <w:rsid w:val="00E5365A"/>
    <w:rsid w:val="00E53D76"/>
    <w:rsid w:val="00E54900"/>
    <w:rsid w:val="00E5521C"/>
    <w:rsid w:val="00E552B2"/>
    <w:rsid w:val="00E555A4"/>
    <w:rsid w:val="00E56383"/>
    <w:rsid w:val="00E56448"/>
    <w:rsid w:val="00E566A8"/>
    <w:rsid w:val="00E577EE"/>
    <w:rsid w:val="00E579D6"/>
    <w:rsid w:val="00E60092"/>
    <w:rsid w:val="00E609A1"/>
    <w:rsid w:val="00E60E18"/>
    <w:rsid w:val="00E611E9"/>
    <w:rsid w:val="00E6239A"/>
    <w:rsid w:val="00E62668"/>
    <w:rsid w:val="00E62EFF"/>
    <w:rsid w:val="00E64637"/>
    <w:rsid w:val="00E659EB"/>
    <w:rsid w:val="00E66066"/>
    <w:rsid w:val="00E6614E"/>
    <w:rsid w:val="00E66223"/>
    <w:rsid w:val="00E66E30"/>
    <w:rsid w:val="00E66E62"/>
    <w:rsid w:val="00E70645"/>
    <w:rsid w:val="00E708CB"/>
    <w:rsid w:val="00E70A33"/>
    <w:rsid w:val="00E738A1"/>
    <w:rsid w:val="00E75D57"/>
    <w:rsid w:val="00E76CEE"/>
    <w:rsid w:val="00E77BB0"/>
    <w:rsid w:val="00E800DF"/>
    <w:rsid w:val="00E80599"/>
    <w:rsid w:val="00E810CC"/>
    <w:rsid w:val="00E81C51"/>
    <w:rsid w:val="00E82516"/>
    <w:rsid w:val="00E83DFF"/>
    <w:rsid w:val="00E84699"/>
    <w:rsid w:val="00E84709"/>
    <w:rsid w:val="00E86372"/>
    <w:rsid w:val="00E86DDE"/>
    <w:rsid w:val="00E870D4"/>
    <w:rsid w:val="00E873CF"/>
    <w:rsid w:val="00E9025E"/>
    <w:rsid w:val="00E9044A"/>
    <w:rsid w:val="00E91175"/>
    <w:rsid w:val="00E92C72"/>
    <w:rsid w:val="00E92DB3"/>
    <w:rsid w:val="00E939EC"/>
    <w:rsid w:val="00E94856"/>
    <w:rsid w:val="00E94978"/>
    <w:rsid w:val="00E949F6"/>
    <w:rsid w:val="00E94A3D"/>
    <w:rsid w:val="00E94C89"/>
    <w:rsid w:val="00E94F83"/>
    <w:rsid w:val="00E9512B"/>
    <w:rsid w:val="00E95995"/>
    <w:rsid w:val="00E95C99"/>
    <w:rsid w:val="00E9644E"/>
    <w:rsid w:val="00E9669E"/>
    <w:rsid w:val="00E97BC3"/>
    <w:rsid w:val="00E97D9E"/>
    <w:rsid w:val="00E97F46"/>
    <w:rsid w:val="00EA0330"/>
    <w:rsid w:val="00EA058F"/>
    <w:rsid w:val="00EA0BC8"/>
    <w:rsid w:val="00EA18DA"/>
    <w:rsid w:val="00EA262B"/>
    <w:rsid w:val="00EA380E"/>
    <w:rsid w:val="00EA47C7"/>
    <w:rsid w:val="00EA4ACC"/>
    <w:rsid w:val="00EA52B9"/>
    <w:rsid w:val="00EA56A3"/>
    <w:rsid w:val="00EA5BDF"/>
    <w:rsid w:val="00EA5E23"/>
    <w:rsid w:val="00EA6895"/>
    <w:rsid w:val="00EA7756"/>
    <w:rsid w:val="00EB048E"/>
    <w:rsid w:val="00EB09D0"/>
    <w:rsid w:val="00EB1223"/>
    <w:rsid w:val="00EB1B18"/>
    <w:rsid w:val="00EB259E"/>
    <w:rsid w:val="00EB3645"/>
    <w:rsid w:val="00EB3DA4"/>
    <w:rsid w:val="00EB43F4"/>
    <w:rsid w:val="00EB591D"/>
    <w:rsid w:val="00EB5F02"/>
    <w:rsid w:val="00EB5FBA"/>
    <w:rsid w:val="00EB6F7C"/>
    <w:rsid w:val="00EB7F5D"/>
    <w:rsid w:val="00EC0795"/>
    <w:rsid w:val="00EC0FFB"/>
    <w:rsid w:val="00EC15B5"/>
    <w:rsid w:val="00EC2089"/>
    <w:rsid w:val="00EC3263"/>
    <w:rsid w:val="00EC35C5"/>
    <w:rsid w:val="00EC3CC7"/>
    <w:rsid w:val="00EC667A"/>
    <w:rsid w:val="00EC6E5E"/>
    <w:rsid w:val="00EC7468"/>
    <w:rsid w:val="00ED1EE1"/>
    <w:rsid w:val="00ED22F6"/>
    <w:rsid w:val="00ED2366"/>
    <w:rsid w:val="00ED2CC9"/>
    <w:rsid w:val="00ED358E"/>
    <w:rsid w:val="00ED3953"/>
    <w:rsid w:val="00ED4A88"/>
    <w:rsid w:val="00ED545D"/>
    <w:rsid w:val="00ED54B0"/>
    <w:rsid w:val="00ED5802"/>
    <w:rsid w:val="00ED68BA"/>
    <w:rsid w:val="00EE19F2"/>
    <w:rsid w:val="00EE2B05"/>
    <w:rsid w:val="00EE2C5A"/>
    <w:rsid w:val="00EE3F5A"/>
    <w:rsid w:val="00EE4710"/>
    <w:rsid w:val="00EE6FFA"/>
    <w:rsid w:val="00EE729B"/>
    <w:rsid w:val="00EE7423"/>
    <w:rsid w:val="00EE7F56"/>
    <w:rsid w:val="00EF1DCD"/>
    <w:rsid w:val="00EF1F87"/>
    <w:rsid w:val="00EF2228"/>
    <w:rsid w:val="00EF4088"/>
    <w:rsid w:val="00EF41DE"/>
    <w:rsid w:val="00EF483C"/>
    <w:rsid w:val="00EF5004"/>
    <w:rsid w:val="00EF5786"/>
    <w:rsid w:val="00EF6970"/>
    <w:rsid w:val="00EF6B8A"/>
    <w:rsid w:val="00EF6F7C"/>
    <w:rsid w:val="00F00047"/>
    <w:rsid w:val="00F00789"/>
    <w:rsid w:val="00F0100A"/>
    <w:rsid w:val="00F012FD"/>
    <w:rsid w:val="00F02C31"/>
    <w:rsid w:val="00F0330A"/>
    <w:rsid w:val="00F040A1"/>
    <w:rsid w:val="00F054A5"/>
    <w:rsid w:val="00F060ED"/>
    <w:rsid w:val="00F0626B"/>
    <w:rsid w:val="00F06309"/>
    <w:rsid w:val="00F06CAE"/>
    <w:rsid w:val="00F06CB4"/>
    <w:rsid w:val="00F07C7B"/>
    <w:rsid w:val="00F07D41"/>
    <w:rsid w:val="00F07F24"/>
    <w:rsid w:val="00F10810"/>
    <w:rsid w:val="00F10AB1"/>
    <w:rsid w:val="00F111CE"/>
    <w:rsid w:val="00F11563"/>
    <w:rsid w:val="00F118D3"/>
    <w:rsid w:val="00F1192A"/>
    <w:rsid w:val="00F11A33"/>
    <w:rsid w:val="00F12188"/>
    <w:rsid w:val="00F13602"/>
    <w:rsid w:val="00F13FE6"/>
    <w:rsid w:val="00F1460C"/>
    <w:rsid w:val="00F149E4"/>
    <w:rsid w:val="00F153F3"/>
    <w:rsid w:val="00F15864"/>
    <w:rsid w:val="00F15FA3"/>
    <w:rsid w:val="00F1605F"/>
    <w:rsid w:val="00F171D6"/>
    <w:rsid w:val="00F17937"/>
    <w:rsid w:val="00F17BAD"/>
    <w:rsid w:val="00F17FDD"/>
    <w:rsid w:val="00F206CA"/>
    <w:rsid w:val="00F20A9C"/>
    <w:rsid w:val="00F21E04"/>
    <w:rsid w:val="00F221B5"/>
    <w:rsid w:val="00F23A69"/>
    <w:rsid w:val="00F24253"/>
    <w:rsid w:val="00F247ED"/>
    <w:rsid w:val="00F248A3"/>
    <w:rsid w:val="00F2535D"/>
    <w:rsid w:val="00F254C0"/>
    <w:rsid w:val="00F25620"/>
    <w:rsid w:val="00F25C5B"/>
    <w:rsid w:val="00F2653B"/>
    <w:rsid w:val="00F2697F"/>
    <w:rsid w:val="00F269C4"/>
    <w:rsid w:val="00F278A6"/>
    <w:rsid w:val="00F30B82"/>
    <w:rsid w:val="00F31F2E"/>
    <w:rsid w:val="00F3321D"/>
    <w:rsid w:val="00F3343B"/>
    <w:rsid w:val="00F33741"/>
    <w:rsid w:val="00F34DF0"/>
    <w:rsid w:val="00F34DF2"/>
    <w:rsid w:val="00F36B9A"/>
    <w:rsid w:val="00F36FBE"/>
    <w:rsid w:val="00F373CA"/>
    <w:rsid w:val="00F37D26"/>
    <w:rsid w:val="00F40FA9"/>
    <w:rsid w:val="00F428F4"/>
    <w:rsid w:val="00F42DD2"/>
    <w:rsid w:val="00F437C2"/>
    <w:rsid w:val="00F44CC0"/>
    <w:rsid w:val="00F452B6"/>
    <w:rsid w:val="00F45651"/>
    <w:rsid w:val="00F46A86"/>
    <w:rsid w:val="00F47D23"/>
    <w:rsid w:val="00F47D58"/>
    <w:rsid w:val="00F502B8"/>
    <w:rsid w:val="00F50857"/>
    <w:rsid w:val="00F50D42"/>
    <w:rsid w:val="00F51227"/>
    <w:rsid w:val="00F51D5E"/>
    <w:rsid w:val="00F52113"/>
    <w:rsid w:val="00F52A06"/>
    <w:rsid w:val="00F52B38"/>
    <w:rsid w:val="00F54350"/>
    <w:rsid w:val="00F56045"/>
    <w:rsid w:val="00F619B1"/>
    <w:rsid w:val="00F624A2"/>
    <w:rsid w:val="00F62B98"/>
    <w:rsid w:val="00F650C5"/>
    <w:rsid w:val="00F6572C"/>
    <w:rsid w:val="00F6599E"/>
    <w:rsid w:val="00F66C9C"/>
    <w:rsid w:val="00F67CC4"/>
    <w:rsid w:val="00F704FB"/>
    <w:rsid w:val="00F714D3"/>
    <w:rsid w:val="00F7184D"/>
    <w:rsid w:val="00F72C55"/>
    <w:rsid w:val="00F72D70"/>
    <w:rsid w:val="00F72F50"/>
    <w:rsid w:val="00F7329C"/>
    <w:rsid w:val="00F73C3C"/>
    <w:rsid w:val="00F740B2"/>
    <w:rsid w:val="00F74D76"/>
    <w:rsid w:val="00F75029"/>
    <w:rsid w:val="00F75093"/>
    <w:rsid w:val="00F75284"/>
    <w:rsid w:val="00F7727C"/>
    <w:rsid w:val="00F777A9"/>
    <w:rsid w:val="00F77C36"/>
    <w:rsid w:val="00F77D44"/>
    <w:rsid w:val="00F80B86"/>
    <w:rsid w:val="00F80F37"/>
    <w:rsid w:val="00F811CD"/>
    <w:rsid w:val="00F81C9A"/>
    <w:rsid w:val="00F82AA2"/>
    <w:rsid w:val="00F82B3B"/>
    <w:rsid w:val="00F83225"/>
    <w:rsid w:val="00F83B6D"/>
    <w:rsid w:val="00F83EB0"/>
    <w:rsid w:val="00F84C62"/>
    <w:rsid w:val="00F84F2D"/>
    <w:rsid w:val="00F90A41"/>
    <w:rsid w:val="00F91FAA"/>
    <w:rsid w:val="00F9288E"/>
    <w:rsid w:val="00F93110"/>
    <w:rsid w:val="00F93423"/>
    <w:rsid w:val="00F9346C"/>
    <w:rsid w:val="00F94389"/>
    <w:rsid w:val="00F94CC6"/>
    <w:rsid w:val="00F94D60"/>
    <w:rsid w:val="00F95172"/>
    <w:rsid w:val="00F95BDE"/>
    <w:rsid w:val="00F95C11"/>
    <w:rsid w:val="00F95D28"/>
    <w:rsid w:val="00F96162"/>
    <w:rsid w:val="00F965DD"/>
    <w:rsid w:val="00F968E1"/>
    <w:rsid w:val="00F96D48"/>
    <w:rsid w:val="00F97F17"/>
    <w:rsid w:val="00FA00EC"/>
    <w:rsid w:val="00FA0760"/>
    <w:rsid w:val="00FA1338"/>
    <w:rsid w:val="00FA1E9A"/>
    <w:rsid w:val="00FA2043"/>
    <w:rsid w:val="00FA2479"/>
    <w:rsid w:val="00FA2C5C"/>
    <w:rsid w:val="00FA2E6A"/>
    <w:rsid w:val="00FA4A80"/>
    <w:rsid w:val="00FA546C"/>
    <w:rsid w:val="00FA57A7"/>
    <w:rsid w:val="00FA6458"/>
    <w:rsid w:val="00FA65F9"/>
    <w:rsid w:val="00FA7B41"/>
    <w:rsid w:val="00FB08EE"/>
    <w:rsid w:val="00FB0AA2"/>
    <w:rsid w:val="00FB0E93"/>
    <w:rsid w:val="00FB2666"/>
    <w:rsid w:val="00FB2BBF"/>
    <w:rsid w:val="00FB33F0"/>
    <w:rsid w:val="00FB3468"/>
    <w:rsid w:val="00FB4811"/>
    <w:rsid w:val="00FB4DBF"/>
    <w:rsid w:val="00FB67B6"/>
    <w:rsid w:val="00FC11AF"/>
    <w:rsid w:val="00FC1960"/>
    <w:rsid w:val="00FC1DF8"/>
    <w:rsid w:val="00FC1E0D"/>
    <w:rsid w:val="00FC1E70"/>
    <w:rsid w:val="00FC1E89"/>
    <w:rsid w:val="00FC2345"/>
    <w:rsid w:val="00FC3B39"/>
    <w:rsid w:val="00FC3DF6"/>
    <w:rsid w:val="00FC408B"/>
    <w:rsid w:val="00FC4EAA"/>
    <w:rsid w:val="00FC764F"/>
    <w:rsid w:val="00FD1807"/>
    <w:rsid w:val="00FD1922"/>
    <w:rsid w:val="00FD1957"/>
    <w:rsid w:val="00FD48AA"/>
    <w:rsid w:val="00FD49B5"/>
    <w:rsid w:val="00FD522A"/>
    <w:rsid w:val="00FD5C7E"/>
    <w:rsid w:val="00FD5F70"/>
    <w:rsid w:val="00FD61E3"/>
    <w:rsid w:val="00FD7811"/>
    <w:rsid w:val="00FD7A33"/>
    <w:rsid w:val="00FE00F9"/>
    <w:rsid w:val="00FE05D4"/>
    <w:rsid w:val="00FE11B9"/>
    <w:rsid w:val="00FE1422"/>
    <w:rsid w:val="00FE2CA6"/>
    <w:rsid w:val="00FE2D4C"/>
    <w:rsid w:val="00FE3828"/>
    <w:rsid w:val="00FE480E"/>
    <w:rsid w:val="00FF0396"/>
    <w:rsid w:val="00FF1D23"/>
    <w:rsid w:val="00FF27B2"/>
    <w:rsid w:val="00FF3C0C"/>
    <w:rsid w:val="00FF4BB3"/>
    <w:rsid w:val="00FF4FCB"/>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A019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page number" w:uiPriority="99"/>
    <w:lsdException w:name="toa heading" w:uiPriority="99"/>
    <w:lsdException w:name="List Bullet" w:uiPriority="99"/>
    <w:lsdException w:name="List Bullet 5" w:uiPriority="99"/>
    <w:lsdException w:name="List Number 2" w:uiPriority="99"/>
    <w:lsdException w:name="Title" w:uiPriority="10"/>
    <w:lsdException w:name="Default Paragraph Font" w:uiPriority="1"/>
    <w:lsdException w:name="Body Text Indent" w:uiPriority="99"/>
    <w:lsdException w:name="Subtitle" w:uiPriority="11"/>
    <w:lsdException w:name="Hyperlink" w:uiPriority="99"/>
    <w:lsdException w:name="FollowedHyperlink" w:uiPriority="99"/>
    <w:lsdException w:name="Strong" w:uiPriority="22"/>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84F0E"/>
    <w:pPr>
      <w:spacing w:before="120" w:after="120"/>
      <w:jc w:val="both"/>
    </w:pPr>
    <w:rPr>
      <w:sz w:val="22"/>
      <w:lang w:eastAsia="en-US"/>
    </w:rPr>
  </w:style>
  <w:style w:type="paragraph" w:styleId="Heading1">
    <w:name w:val="heading 1"/>
    <w:basedOn w:val="Normal"/>
    <w:next w:val="Normal"/>
    <w:link w:val="Heading1Char"/>
    <w:uiPriority w:val="9"/>
    <w:rsid w:val="005E7B2D"/>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rsid w:val="005E7B2D"/>
    <w:pPr>
      <w:keepNext/>
      <w:keepLines/>
      <w:numPr>
        <w:ilvl w:val="1"/>
        <w:numId w:val="8"/>
      </w:numPr>
      <w:tabs>
        <w:tab w:val="clear" w:pos="360"/>
        <w:tab w:val="num" w:pos="283"/>
        <w:tab w:val="num" w:pos="567"/>
      </w:tabs>
      <w:ind w:left="283" w:hanging="283"/>
      <w:outlineLvl w:val="1"/>
    </w:pPr>
    <w:rPr>
      <w:b/>
    </w:rPr>
  </w:style>
  <w:style w:type="paragraph" w:styleId="Heading3">
    <w:name w:val="heading 3"/>
    <w:basedOn w:val="Normal"/>
    <w:next w:val="Normal"/>
    <w:link w:val="Heading3Char"/>
    <w:uiPriority w:val="9"/>
    <w:rsid w:val="005E7B2D"/>
    <w:pPr>
      <w:keepNext/>
      <w:numPr>
        <w:ilvl w:val="2"/>
        <w:numId w:val="8"/>
      </w:numPr>
      <w:tabs>
        <w:tab w:val="clear" w:pos="360"/>
        <w:tab w:val="num" w:pos="283"/>
        <w:tab w:val="num" w:pos="1440"/>
      </w:tabs>
      <w:spacing w:before="240" w:after="60"/>
      <w:ind w:left="283" w:hanging="283"/>
      <w:outlineLvl w:val="2"/>
    </w:pPr>
    <w:rPr>
      <w:b/>
    </w:rPr>
  </w:style>
  <w:style w:type="paragraph" w:styleId="Heading4">
    <w:name w:val="heading 4"/>
    <w:basedOn w:val="Normal"/>
    <w:next w:val="Text4"/>
    <w:link w:val="Heading4Char"/>
    <w:uiPriority w:val="9"/>
    <w:rsid w:val="005E7B2D"/>
    <w:pPr>
      <w:keepNext/>
      <w:spacing w:after="240"/>
      <w:ind w:left="1984" w:hanging="782"/>
      <w:outlineLvl w:val="3"/>
    </w:pPr>
  </w:style>
  <w:style w:type="paragraph" w:styleId="Heading5">
    <w:name w:val="heading 5"/>
    <w:basedOn w:val="Normal"/>
    <w:next w:val="Normal"/>
    <w:link w:val="Heading5Char"/>
    <w:uiPriority w:val="9"/>
    <w:rsid w:val="005E7B2D"/>
    <w:pPr>
      <w:numPr>
        <w:ilvl w:val="1"/>
        <w:numId w:val="7"/>
      </w:numPr>
      <w:tabs>
        <w:tab w:val="num" w:pos="0"/>
      </w:tabs>
      <w:spacing w:before="240" w:after="60"/>
      <w:outlineLvl w:val="4"/>
    </w:pPr>
    <w:rPr>
      <w:rFonts w:ascii="Arial" w:hAnsi="Arial"/>
    </w:rPr>
  </w:style>
  <w:style w:type="paragraph" w:styleId="Heading6">
    <w:name w:val="heading 6"/>
    <w:basedOn w:val="Normal"/>
    <w:next w:val="Normal"/>
    <w:link w:val="Heading6Char"/>
    <w:uiPriority w:val="9"/>
    <w:rsid w:val="005E7B2D"/>
    <w:pPr>
      <w:numPr>
        <w:ilvl w:val="2"/>
        <w:numId w:val="7"/>
      </w:numPr>
      <w:tabs>
        <w:tab w:val="num" w:pos="0"/>
      </w:tabs>
      <w:spacing w:before="240" w:after="60"/>
      <w:outlineLvl w:val="5"/>
    </w:pPr>
    <w:rPr>
      <w:rFonts w:ascii="Arial" w:hAnsi="Arial"/>
      <w:i/>
    </w:rPr>
  </w:style>
  <w:style w:type="paragraph" w:styleId="Heading7">
    <w:name w:val="heading 7"/>
    <w:basedOn w:val="Normal"/>
    <w:next w:val="Normal"/>
    <w:link w:val="Heading7Char"/>
    <w:uiPriority w:val="9"/>
    <w:rsid w:val="005E7B2D"/>
    <w:pPr>
      <w:numPr>
        <w:ilvl w:val="6"/>
        <w:numId w:val="7"/>
      </w:num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
    <w:rsid w:val="005E7B2D"/>
    <w:pPr>
      <w:numPr>
        <w:ilvl w:val="7"/>
        <w:numId w:val="7"/>
      </w:num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
    <w:rsid w:val="005E7B2D"/>
    <w:pPr>
      <w:numPr>
        <w:ilvl w:val="8"/>
        <w:numId w:val="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Arial" w:hAnsi="Arial"/>
      <w:b/>
      <w:kern w:val="28"/>
      <w:sz w:val="28"/>
      <w:lang w:eastAsia="en-US"/>
    </w:rPr>
  </w:style>
  <w:style w:type="character" w:customStyle="1" w:styleId="Heading2Char">
    <w:name w:val="Heading 2 Char"/>
    <w:link w:val="Heading2"/>
    <w:uiPriority w:val="9"/>
    <w:locked/>
    <w:rPr>
      <w:b/>
      <w:sz w:val="22"/>
      <w:lang w:eastAsia="en-US"/>
    </w:rPr>
  </w:style>
  <w:style w:type="character" w:customStyle="1" w:styleId="Heading3Char">
    <w:name w:val="Heading 3 Char"/>
    <w:link w:val="Heading3"/>
    <w:uiPriority w:val="9"/>
    <w:locked/>
    <w:rPr>
      <w:b/>
      <w:sz w:val="22"/>
      <w:lang w:eastAsia="en-US"/>
    </w:rPr>
  </w:style>
  <w:style w:type="character" w:customStyle="1" w:styleId="Heading4Char">
    <w:name w:val="Heading 4 Char"/>
    <w:link w:val="Heading4"/>
    <w:uiPriority w:val="9"/>
    <w:locked/>
    <w:rsid w:val="008109C1"/>
    <w:rPr>
      <w:sz w:val="22"/>
      <w:lang w:eastAsia="en-US"/>
    </w:rPr>
  </w:style>
  <w:style w:type="character" w:customStyle="1" w:styleId="Heading5Char">
    <w:name w:val="Heading 5 Char"/>
    <w:link w:val="Heading5"/>
    <w:uiPriority w:val="9"/>
    <w:locked/>
    <w:rPr>
      <w:rFonts w:ascii="Arial" w:hAnsi="Arial"/>
      <w:sz w:val="22"/>
      <w:lang w:eastAsia="en-US"/>
    </w:rPr>
  </w:style>
  <w:style w:type="character" w:customStyle="1" w:styleId="Heading6Char">
    <w:name w:val="Heading 6 Char"/>
    <w:link w:val="Heading6"/>
    <w:uiPriority w:val="9"/>
    <w:locked/>
    <w:rPr>
      <w:rFonts w:ascii="Arial" w:hAnsi="Arial"/>
      <w:i/>
      <w:sz w:val="22"/>
      <w:lang w:eastAsia="en-US"/>
    </w:rPr>
  </w:style>
  <w:style w:type="character" w:customStyle="1" w:styleId="Heading7Char">
    <w:name w:val="Heading 7 Char"/>
    <w:link w:val="Heading7"/>
    <w:uiPriority w:val="9"/>
    <w:locked/>
    <w:rPr>
      <w:rFonts w:ascii="Arial" w:hAnsi="Arial"/>
      <w:lang w:eastAsia="en-US"/>
    </w:rPr>
  </w:style>
  <w:style w:type="character" w:customStyle="1" w:styleId="Heading8Char">
    <w:name w:val="Heading 8 Char"/>
    <w:link w:val="Heading8"/>
    <w:uiPriority w:val="9"/>
    <w:locked/>
    <w:rPr>
      <w:rFonts w:ascii="Arial" w:hAnsi="Arial"/>
      <w:i/>
      <w:lang w:eastAsia="en-US"/>
    </w:rPr>
  </w:style>
  <w:style w:type="character" w:customStyle="1" w:styleId="Heading9Char">
    <w:name w:val="Heading 9 Char"/>
    <w:link w:val="Heading9"/>
    <w:uiPriority w:val="9"/>
    <w:locked/>
    <w:rPr>
      <w:rFonts w:ascii="Arial" w:hAnsi="Arial"/>
      <w:i/>
      <w:sz w:val="18"/>
      <w:lang w:eastAsia="en-US"/>
    </w:rPr>
  </w:style>
  <w:style w:type="paragraph" w:customStyle="1" w:styleId="Text4">
    <w:name w:val="Text 4"/>
    <w:basedOn w:val="Normal"/>
    <w:rsid w:val="005E7B2D"/>
    <w:pPr>
      <w:tabs>
        <w:tab w:val="left" w:pos="2302"/>
      </w:tabs>
      <w:spacing w:after="240"/>
      <w:ind w:left="1202"/>
    </w:pPr>
  </w:style>
  <w:style w:type="paragraph" w:customStyle="1" w:styleId="Application1">
    <w:name w:val="Application1"/>
    <w:basedOn w:val="Heading1"/>
    <w:next w:val="Application2"/>
    <w:rsid w:val="005E7B2D"/>
    <w:pPr>
      <w:pageBreakBefore/>
      <w:widowControl w:val="0"/>
      <w:tabs>
        <w:tab w:val="num" w:pos="360"/>
      </w:tabs>
      <w:spacing w:before="0" w:after="480"/>
      <w:ind w:left="360" w:hanging="360"/>
    </w:pPr>
    <w:rPr>
      <w:caps/>
    </w:rPr>
  </w:style>
  <w:style w:type="paragraph" w:customStyle="1" w:styleId="Application2">
    <w:name w:val="Application2"/>
    <w:basedOn w:val="Normal"/>
    <w:rsid w:val="005E7B2D"/>
    <w:pPr>
      <w:widowControl w:val="0"/>
      <w:tabs>
        <w:tab w:val="left" w:pos="567"/>
      </w:tabs>
      <w:suppressAutoHyphens/>
      <w:ind w:left="482" w:hanging="480"/>
    </w:pPr>
    <w:rPr>
      <w:rFonts w:ascii="Arial" w:hAnsi="Arial"/>
      <w:b/>
      <w:spacing w:val="-2"/>
    </w:rPr>
  </w:style>
  <w:style w:type="paragraph" w:customStyle="1" w:styleId="Application3">
    <w:name w:val="Application3"/>
    <w:basedOn w:val="Normal"/>
    <w:rsid w:val="005E7B2D"/>
    <w:pPr>
      <w:widowControl w:val="0"/>
      <w:numPr>
        <w:numId w:val="4"/>
      </w:numPr>
      <w:tabs>
        <w:tab w:val="num" w:pos="0"/>
        <w:tab w:val="right" w:pos="8789"/>
      </w:tabs>
      <w:suppressAutoHyphens/>
      <w:ind w:left="360"/>
    </w:pPr>
    <w:rPr>
      <w:rFonts w:ascii="Arial" w:hAnsi="Arial"/>
      <w:b/>
      <w:spacing w:val="-2"/>
    </w:rPr>
  </w:style>
  <w:style w:type="paragraph" w:customStyle="1" w:styleId="Application4">
    <w:name w:val="Application4"/>
    <w:basedOn w:val="Application3"/>
    <w:autoRedefine/>
    <w:rsid w:val="005E7B2D"/>
    <w:pPr>
      <w:numPr>
        <w:numId w:val="0"/>
      </w:numPr>
      <w:tabs>
        <w:tab w:val="num" w:pos="1492"/>
      </w:tabs>
      <w:ind w:left="567"/>
    </w:pPr>
    <w:rPr>
      <w:sz w:val="20"/>
    </w:rPr>
  </w:style>
  <w:style w:type="paragraph" w:customStyle="1" w:styleId="Application5">
    <w:name w:val="Application5"/>
    <w:basedOn w:val="Application2"/>
    <w:autoRedefine/>
    <w:rsid w:val="005E7B2D"/>
    <w:pPr>
      <w:tabs>
        <w:tab w:val="clear" w:pos="567"/>
        <w:tab w:val="num" w:pos="0"/>
        <w:tab w:val="num" w:pos="643"/>
      </w:tabs>
      <w:ind w:left="360" w:hanging="360"/>
    </w:pPr>
    <w:rPr>
      <w:sz w:val="24"/>
    </w:rPr>
  </w:style>
  <w:style w:type="paragraph" w:customStyle="1" w:styleId="NumPar4">
    <w:name w:val="NumPar 4"/>
    <w:basedOn w:val="Heading4"/>
    <w:next w:val="Text4"/>
    <w:rsid w:val="005E7B2D"/>
    <w:pPr>
      <w:keepNext w:val="0"/>
    </w:pPr>
  </w:style>
  <w:style w:type="paragraph" w:styleId="Title">
    <w:name w:val="Title"/>
    <w:basedOn w:val="Normal"/>
    <w:next w:val="SubTitle1"/>
    <w:link w:val="TitleChar"/>
    <w:uiPriority w:val="10"/>
    <w:rsid w:val="005E7B2D"/>
    <w:pPr>
      <w:spacing w:after="480"/>
      <w:jc w:val="center"/>
    </w:pPr>
    <w:rPr>
      <w:b/>
      <w:sz w:val="48"/>
    </w:rPr>
  </w:style>
  <w:style w:type="character" w:customStyle="1" w:styleId="TitleChar">
    <w:name w:val="Title Char"/>
    <w:link w:val="Title"/>
    <w:uiPriority w:val="10"/>
    <w:locked/>
    <w:rPr>
      <w:b/>
      <w:sz w:val="48"/>
      <w:lang w:eastAsia="en-US"/>
    </w:rPr>
  </w:style>
  <w:style w:type="paragraph" w:customStyle="1" w:styleId="SubTitle1">
    <w:name w:val="SubTitle 1"/>
    <w:basedOn w:val="Normal"/>
    <w:next w:val="SubTitle2"/>
    <w:rsid w:val="005E7B2D"/>
    <w:pPr>
      <w:spacing w:after="240"/>
      <w:jc w:val="center"/>
    </w:pPr>
    <w:rPr>
      <w:b/>
      <w:sz w:val="40"/>
    </w:rPr>
  </w:style>
  <w:style w:type="paragraph" w:customStyle="1" w:styleId="SubTitle2">
    <w:name w:val="SubTitle 2"/>
    <w:basedOn w:val="Normal"/>
    <w:rsid w:val="005E7B2D"/>
    <w:pPr>
      <w:spacing w:after="240"/>
      <w:jc w:val="center"/>
    </w:pPr>
    <w:rPr>
      <w:b/>
      <w:sz w:val="32"/>
    </w:rPr>
  </w:style>
  <w:style w:type="paragraph" w:customStyle="1" w:styleId="PartTitle">
    <w:name w:val="PartTitle"/>
    <w:basedOn w:val="Normal"/>
    <w:next w:val="Normal"/>
    <w:rsid w:val="005E7B2D"/>
    <w:pPr>
      <w:keepNext/>
      <w:pageBreakBefore/>
      <w:spacing w:after="480"/>
      <w:jc w:val="center"/>
    </w:pPr>
    <w:rPr>
      <w:b/>
      <w:sz w:val="36"/>
    </w:rPr>
  </w:style>
  <w:style w:type="paragraph" w:customStyle="1" w:styleId="SectionTitle">
    <w:name w:val="SectionTitle"/>
    <w:basedOn w:val="Normal"/>
    <w:next w:val="Heading1"/>
    <w:rsid w:val="005E7B2D"/>
    <w:pPr>
      <w:keepNext/>
      <w:spacing w:after="480"/>
      <w:jc w:val="center"/>
    </w:pPr>
    <w:rPr>
      <w:b/>
      <w:smallCaps/>
      <w:sz w:val="28"/>
    </w:rPr>
  </w:style>
  <w:style w:type="paragraph" w:styleId="TOC1">
    <w:name w:val="toc 1"/>
    <w:basedOn w:val="Normal"/>
    <w:next w:val="Normal"/>
    <w:autoRedefine/>
    <w:uiPriority w:val="39"/>
    <w:rsid w:val="005E7B2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5E7B2D"/>
    <w:pPr>
      <w:tabs>
        <w:tab w:val="left" w:pos="709"/>
        <w:tab w:val="right" w:leader="dot" w:pos="9628"/>
      </w:tabs>
      <w:spacing w:after="80"/>
      <w:ind w:left="709" w:hanging="425"/>
    </w:pPr>
  </w:style>
  <w:style w:type="paragraph" w:styleId="TOC3">
    <w:name w:val="toc 3"/>
    <w:basedOn w:val="Normal"/>
    <w:next w:val="Normal"/>
    <w:autoRedefine/>
    <w:uiPriority w:val="39"/>
    <w:rsid w:val="005E7B2D"/>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semiHidden/>
    <w:rsid w:val="005E7B2D"/>
    <w:pPr>
      <w:ind w:left="480"/>
    </w:pPr>
    <w:rPr>
      <w:sz w:val="20"/>
    </w:rPr>
  </w:style>
  <w:style w:type="paragraph" w:customStyle="1" w:styleId="AnnexTOC">
    <w:name w:val="AnnexTOC"/>
    <w:basedOn w:val="TOC1"/>
    <w:rsid w:val="005E7B2D"/>
  </w:style>
  <w:style w:type="paragraph" w:customStyle="1" w:styleId="Guidelines1">
    <w:name w:val="Guidelines 1"/>
    <w:basedOn w:val="Normal"/>
    <w:autoRedefine/>
    <w:qFormat/>
    <w:rsid w:val="005E7B2D"/>
    <w:pPr>
      <w:widowControl w:val="0"/>
      <w:numPr>
        <w:numId w:val="15"/>
      </w:numPr>
      <w:spacing w:after="360"/>
    </w:pPr>
    <w:rPr>
      <w:rFonts w:ascii="Times New Roman Bold" w:hAnsi="Times New Roman Bold"/>
      <w:b/>
      <w:caps/>
      <w:sz w:val="32"/>
    </w:rPr>
  </w:style>
  <w:style w:type="paragraph" w:customStyle="1" w:styleId="Guidelines2">
    <w:name w:val="Guidelines 2"/>
    <w:basedOn w:val="Normal"/>
    <w:next w:val="Normal"/>
    <w:autoRedefine/>
    <w:qFormat/>
    <w:rsid w:val="005E7B2D"/>
    <w:pPr>
      <w:numPr>
        <w:ilvl w:val="1"/>
        <w:numId w:val="15"/>
      </w:numPr>
      <w:spacing w:before="240"/>
      <w:outlineLvl w:val="0"/>
    </w:pPr>
    <w:rPr>
      <w:rFonts w:ascii="Times New Roman Bold" w:hAnsi="Times New Roman Bold"/>
      <w:b/>
      <w:smallCaps/>
      <w:sz w:val="28"/>
    </w:rPr>
  </w:style>
  <w:style w:type="paragraph" w:customStyle="1" w:styleId="Text1">
    <w:name w:val="Text 1"/>
    <w:basedOn w:val="Normal"/>
    <w:rsid w:val="005E7B2D"/>
    <w:pPr>
      <w:spacing w:after="240"/>
      <w:ind w:left="482"/>
    </w:pPr>
  </w:style>
  <w:style w:type="paragraph" w:customStyle="1" w:styleId="Guidelines3">
    <w:name w:val="Guidelines 3"/>
    <w:basedOn w:val="Normal"/>
    <w:next w:val="Normal"/>
    <w:autoRedefine/>
    <w:qFormat/>
    <w:rsid w:val="005E7B2D"/>
    <w:pPr>
      <w:pBdr>
        <w:top w:val="single" w:sz="4" w:space="1" w:color="auto"/>
        <w:left w:val="single" w:sz="4" w:space="4" w:color="auto"/>
        <w:bottom w:val="single" w:sz="4" w:space="1" w:color="auto"/>
        <w:right w:val="single" w:sz="4" w:space="4" w:color="auto"/>
      </w:pBdr>
      <w:tabs>
        <w:tab w:val="left" w:pos="900"/>
      </w:tabs>
      <w:spacing w:after="40"/>
      <w:jc w:val="left"/>
    </w:pPr>
    <w:rPr>
      <w:b/>
      <w:i/>
      <w:sz w:val="24"/>
    </w:rPr>
  </w:style>
  <w:style w:type="paragraph" w:customStyle="1" w:styleId="Text2">
    <w:name w:val="Text 2"/>
    <w:basedOn w:val="Normal"/>
    <w:rsid w:val="005E7B2D"/>
    <w:pPr>
      <w:tabs>
        <w:tab w:val="left" w:pos="2161"/>
      </w:tabs>
      <w:spacing w:after="240"/>
      <w:ind w:left="1202"/>
    </w:pPr>
  </w:style>
  <w:style w:type="paragraph" w:customStyle="1" w:styleId="p3">
    <w:name w:val="p3"/>
    <w:basedOn w:val="Normal"/>
    <w:rsid w:val="005E7B2D"/>
    <w:pPr>
      <w:widowControl w:val="0"/>
      <w:tabs>
        <w:tab w:val="left" w:pos="1420"/>
      </w:tabs>
      <w:spacing w:line="260" w:lineRule="atLeast"/>
      <w:ind w:left="360"/>
    </w:pPr>
  </w:style>
  <w:style w:type="paragraph" w:customStyle="1" w:styleId="Guidelines4">
    <w:name w:val="Guidelines 4"/>
    <w:basedOn w:val="Normal"/>
    <w:next w:val="Normal"/>
    <w:autoRedefine/>
    <w:rsid w:val="005E7B2D"/>
    <w:pPr>
      <w:spacing w:before="240" w:after="240"/>
    </w:pPr>
    <w:rPr>
      <w:b/>
      <w:sz w:val="24"/>
    </w:rPr>
  </w:style>
  <w:style w:type="character" w:styleId="Hyperlink">
    <w:name w:val="Hyperlink"/>
    <w:uiPriority w:val="99"/>
    <w:rPr>
      <w:rFonts w:cs="Times New Roman"/>
      <w:color w:val="0000FF"/>
      <w:u w:val="single"/>
    </w:rPr>
  </w:style>
  <w:style w:type="paragraph" w:customStyle="1" w:styleId="References">
    <w:name w:val="References"/>
    <w:basedOn w:val="Normal"/>
    <w:next w:val="Normal"/>
    <w:rsid w:val="005E7B2D"/>
    <w:pPr>
      <w:spacing w:after="240"/>
      <w:ind w:left="5103"/>
    </w:pPr>
    <w:rPr>
      <w:sz w:val="20"/>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qFormat/>
    <w:rsid w:val="005E7B2D"/>
    <w:pPr>
      <w:spacing w:after="0"/>
      <w:ind w:left="284" w:hanging="284"/>
    </w:pPr>
    <w:rPr>
      <w:sz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uiPriority w:val="99"/>
    <w:locked/>
    <w:rsid w:val="0040358C"/>
    <w:rPr>
      <w:lang w:eastAsia="en-US"/>
    </w:rPr>
  </w:style>
  <w:style w:type="paragraph" w:styleId="Header">
    <w:name w:val="header"/>
    <w:basedOn w:val="Normal"/>
    <w:link w:val="HeaderChar"/>
    <w:uiPriority w:val="99"/>
    <w:rsid w:val="005E7B2D"/>
    <w:pPr>
      <w:tabs>
        <w:tab w:val="center" w:pos="4153"/>
        <w:tab w:val="right" w:pos="8306"/>
      </w:tabs>
      <w:spacing w:after="240"/>
    </w:pPr>
  </w:style>
  <w:style w:type="character" w:customStyle="1" w:styleId="HeaderChar">
    <w:name w:val="Header Char"/>
    <w:link w:val="Header"/>
    <w:uiPriority w:val="99"/>
    <w:locked/>
    <w:rPr>
      <w:sz w:val="22"/>
      <w:lang w:eastAsia="en-US"/>
    </w:rPr>
  </w:style>
  <w:style w:type="character" w:styleId="PageNumber">
    <w:name w:val="page number"/>
    <w:uiPriority w:val="99"/>
    <w:rPr>
      <w:rFonts w:cs="Times New Roman"/>
    </w:rPr>
  </w:style>
  <w:style w:type="paragraph" w:styleId="Footer">
    <w:name w:val="footer"/>
    <w:basedOn w:val="Normal"/>
    <w:link w:val="FooterChar"/>
    <w:uiPriority w:val="99"/>
    <w:rsid w:val="005E7B2D"/>
    <w:pPr>
      <w:ind w:right="-567"/>
    </w:pPr>
    <w:rPr>
      <w:rFonts w:ascii="Arial" w:hAnsi="Arial"/>
      <w:sz w:val="16"/>
    </w:rPr>
  </w:style>
  <w:style w:type="character" w:customStyle="1" w:styleId="FooterChar">
    <w:name w:val="Footer Char"/>
    <w:link w:val="Footer"/>
    <w:uiPriority w:val="99"/>
    <w:locked/>
    <w:rPr>
      <w:rFonts w:ascii="Arial" w:hAnsi="Arial"/>
      <w:sz w:val="16"/>
      <w:lang w:eastAsia="en-US"/>
    </w:rPr>
  </w:style>
  <w:style w:type="paragraph" w:customStyle="1" w:styleId="Style0">
    <w:name w:val="Style0"/>
    <w:rsid w:val="005E7B2D"/>
    <w:rPr>
      <w:rFonts w:ascii="Arial" w:hAnsi="Arial"/>
      <w:sz w:val="24"/>
      <w:lang w:val="en-US" w:eastAsia="en-US"/>
    </w:rPr>
  </w:style>
  <w:style w:type="paragraph" w:customStyle="1" w:styleId="Text3">
    <w:name w:val="Text 3"/>
    <w:basedOn w:val="Normal"/>
    <w:rsid w:val="005E7B2D"/>
    <w:pPr>
      <w:tabs>
        <w:tab w:val="left" w:pos="2302"/>
      </w:tabs>
      <w:spacing w:after="240"/>
      <w:ind w:left="1202"/>
    </w:pPr>
  </w:style>
  <w:style w:type="paragraph" w:styleId="BodyTextIndent">
    <w:name w:val="Body Text Indent"/>
    <w:basedOn w:val="Normal"/>
    <w:link w:val="BodyTextIndentChar"/>
    <w:uiPriority w:val="99"/>
    <w:rsid w:val="005E7B2D"/>
  </w:style>
  <w:style w:type="character" w:customStyle="1" w:styleId="BodyTextIndentChar">
    <w:name w:val="Body Text Indent Char"/>
    <w:link w:val="BodyTextIndent"/>
    <w:uiPriority w:val="99"/>
    <w:locked/>
    <w:rsid w:val="0090351E"/>
    <w:rPr>
      <w:sz w:val="22"/>
      <w:lang w:eastAsia="en-US"/>
    </w:rPr>
  </w:style>
  <w:style w:type="paragraph" w:styleId="TOC5">
    <w:name w:val="toc 5"/>
    <w:basedOn w:val="Normal"/>
    <w:next w:val="Normal"/>
    <w:autoRedefine/>
    <w:uiPriority w:val="39"/>
    <w:semiHidden/>
    <w:rsid w:val="005E7B2D"/>
    <w:pPr>
      <w:ind w:left="720"/>
    </w:pPr>
    <w:rPr>
      <w:sz w:val="20"/>
    </w:rPr>
  </w:style>
  <w:style w:type="paragraph" w:styleId="TOC6">
    <w:name w:val="toc 6"/>
    <w:basedOn w:val="Normal"/>
    <w:next w:val="Normal"/>
    <w:autoRedefine/>
    <w:uiPriority w:val="39"/>
    <w:semiHidden/>
    <w:rsid w:val="005E7B2D"/>
    <w:pPr>
      <w:ind w:left="960"/>
    </w:pPr>
    <w:rPr>
      <w:sz w:val="20"/>
    </w:rPr>
  </w:style>
  <w:style w:type="paragraph" w:styleId="TOC7">
    <w:name w:val="toc 7"/>
    <w:basedOn w:val="Normal"/>
    <w:next w:val="Normal"/>
    <w:autoRedefine/>
    <w:uiPriority w:val="39"/>
    <w:semiHidden/>
    <w:rsid w:val="005E7B2D"/>
    <w:pPr>
      <w:ind w:left="1200"/>
    </w:pPr>
    <w:rPr>
      <w:sz w:val="20"/>
    </w:rPr>
  </w:style>
  <w:style w:type="paragraph" w:styleId="TOC8">
    <w:name w:val="toc 8"/>
    <w:basedOn w:val="Normal"/>
    <w:next w:val="Normal"/>
    <w:autoRedefine/>
    <w:uiPriority w:val="39"/>
    <w:semiHidden/>
    <w:rsid w:val="005E7B2D"/>
    <w:pPr>
      <w:ind w:left="1440"/>
    </w:pPr>
    <w:rPr>
      <w:sz w:val="20"/>
    </w:rPr>
  </w:style>
  <w:style w:type="paragraph" w:styleId="TOC9">
    <w:name w:val="toc 9"/>
    <w:basedOn w:val="Normal"/>
    <w:next w:val="Normal"/>
    <w:autoRedefine/>
    <w:uiPriority w:val="39"/>
    <w:semiHidden/>
    <w:rsid w:val="005E7B2D"/>
    <w:pPr>
      <w:ind w:left="1680"/>
    </w:pPr>
    <w:rPr>
      <w:sz w:val="20"/>
    </w:rPr>
  </w:style>
  <w:style w:type="character" w:styleId="FollowedHyperlink">
    <w:name w:val="FollowedHyperlink"/>
    <w:uiPriority w:val="99"/>
    <w:rPr>
      <w:rFonts w:cs="Times New Roman"/>
      <w:color w:val="800080"/>
      <w:u w:val="single"/>
    </w:rPr>
  </w:style>
  <w:style w:type="paragraph" w:customStyle="1" w:styleId="NumPar2">
    <w:name w:val="NumPar 2"/>
    <w:basedOn w:val="Heading2"/>
    <w:next w:val="Text2"/>
    <w:rsid w:val="005E7B2D"/>
    <w:pPr>
      <w:keepNext w:val="0"/>
      <w:keepLines w:val="0"/>
      <w:numPr>
        <w:ilvl w:val="0"/>
        <w:numId w:val="0"/>
      </w:numPr>
      <w:tabs>
        <w:tab w:val="clear" w:pos="567"/>
        <w:tab w:val="num" w:pos="360"/>
      </w:tabs>
      <w:spacing w:after="240"/>
      <w:ind w:left="283" w:hanging="283"/>
      <w:outlineLvl w:val="9"/>
    </w:pPr>
    <w:rPr>
      <w:b w:val="0"/>
      <w:lang w:val="fr-FR"/>
    </w:rPr>
  </w:style>
  <w:style w:type="paragraph" w:styleId="ListBullet5">
    <w:name w:val="List Bullet 5"/>
    <w:basedOn w:val="Normal"/>
    <w:autoRedefine/>
    <w:uiPriority w:val="99"/>
    <w:rsid w:val="005E7B2D"/>
    <w:pPr>
      <w:tabs>
        <w:tab w:val="num" w:pos="360"/>
      </w:tabs>
      <w:spacing w:after="240"/>
      <w:ind w:left="360" w:hanging="360"/>
    </w:pPr>
    <w:rPr>
      <w:lang w:val="fr-FR"/>
    </w:rPr>
  </w:style>
  <w:style w:type="paragraph" w:styleId="ListBullet">
    <w:name w:val="List Bullet"/>
    <w:basedOn w:val="Normal"/>
    <w:link w:val="ListBulletChar"/>
    <w:uiPriority w:val="99"/>
    <w:rsid w:val="005E7B2D"/>
    <w:pPr>
      <w:tabs>
        <w:tab w:val="num" w:pos="567"/>
        <w:tab w:val="num" w:pos="643"/>
      </w:tabs>
      <w:spacing w:after="240"/>
      <w:ind w:left="567" w:hanging="283"/>
    </w:pPr>
    <w:rPr>
      <w:lang w:eastAsia="en-GB"/>
    </w:rPr>
  </w:style>
  <w:style w:type="character" w:customStyle="1" w:styleId="ListBulletChar">
    <w:name w:val="List Bullet Char"/>
    <w:link w:val="ListBullet"/>
    <w:uiPriority w:val="99"/>
    <w:locked/>
    <w:rsid w:val="00CF6359"/>
    <w:rPr>
      <w:sz w:val="22"/>
    </w:rPr>
  </w:style>
  <w:style w:type="paragraph" w:customStyle="1" w:styleId="TOC30">
    <w:name w:val="TOC3"/>
    <w:basedOn w:val="Normal"/>
    <w:rsid w:val="005E7B2D"/>
  </w:style>
  <w:style w:type="paragraph" w:customStyle="1" w:styleId="ListDash2">
    <w:name w:val="List Dash 2"/>
    <w:basedOn w:val="Text2"/>
    <w:rsid w:val="005E7B2D"/>
    <w:pPr>
      <w:tabs>
        <w:tab w:val="clear" w:pos="2161"/>
        <w:tab w:val="num" w:pos="0"/>
        <w:tab w:val="num" w:pos="1485"/>
      </w:tabs>
      <w:ind w:left="1485" w:hanging="283"/>
    </w:pPr>
  </w:style>
  <w:style w:type="table" w:styleId="TableGrid">
    <w:name w:val="Table Grid"/>
    <w:basedOn w:val="TableNormal"/>
    <w:uiPriority w:val="5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rsid w:val="005E7B2D"/>
    <w:pPr>
      <w:jc w:val="center"/>
    </w:pPr>
    <w:rPr>
      <w:rFonts w:ascii="Arial" w:hAnsi="Arial"/>
      <w:b/>
      <w:sz w:val="28"/>
      <w:lang w:val="fr-BE"/>
    </w:rPr>
  </w:style>
  <w:style w:type="character" w:customStyle="1" w:styleId="SubtitleChar">
    <w:name w:val="Subtitle Char"/>
    <w:link w:val="Subtitle"/>
    <w:uiPriority w:val="11"/>
    <w:locked/>
    <w:rPr>
      <w:rFonts w:ascii="Arial" w:hAnsi="Arial"/>
      <w:b/>
      <w:sz w:val="28"/>
      <w:lang w:val="fr-BE" w:eastAsia="en-US"/>
    </w:rPr>
  </w:style>
  <w:style w:type="paragraph" w:customStyle="1" w:styleId="StyleListBullet11pt">
    <w:name w:val="Style List Bullet + 11 pt"/>
    <w:basedOn w:val="ListBullet"/>
    <w:link w:val="StyleListBullet11ptChar"/>
    <w:autoRedefine/>
    <w:rsid w:val="005E7B2D"/>
    <w:pPr>
      <w:spacing w:after="120"/>
    </w:pPr>
  </w:style>
  <w:style w:type="character" w:customStyle="1" w:styleId="StyleListBullet11ptChar">
    <w:name w:val="Style List Bullet + 11 pt Char"/>
    <w:link w:val="StyleListBullet11pt"/>
    <w:locked/>
    <w:rsid w:val="00CF6359"/>
    <w:rPr>
      <w:sz w:val="22"/>
    </w:rPr>
  </w:style>
  <w:style w:type="paragraph" w:styleId="CommentText">
    <w:name w:val="annotation text"/>
    <w:basedOn w:val="Normal"/>
    <w:link w:val="CommentTextChar"/>
    <w:uiPriority w:val="99"/>
    <w:rsid w:val="005E7B2D"/>
    <w:rPr>
      <w:sz w:val="20"/>
    </w:rPr>
  </w:style>
  <w:style w:type="character" w:customStyle="1" w:styleId="CommentTextChar">
    <w:name w:val="Comment Text Char"/>
    <w:link w:val="CommentText"/>
    <w:uiPriority w:val="99"/>
    <w:locked/>
    <w:rsid w:val="00A6227D"/>
    <w:rPr>
      <w:lang w:eastAsia="en-US"/>
    </w:rPr>
  </w:style>
  <w:style w:type="paragraph" w:styleId="CommentSubject">
    <w:name w:val="annotation subject"/>
    <w:basedOn w:val="Normal"/>
    <w:next w:val="CommentText"/>
    <w:link w:val="CommentSubjectChar"/>
    <w:uiPriority w:val="99"/>
    <w:semiHidden/>
    <w:rsid w:val="005E7B2D"/>
    <w:rPr>
      <w:b/>
      <w:bCs/>
      <w:sz w:val="20"/>
    </w:rPr>
  </w:style>
  <w:style w:type="character" w:customStyle="1" w:styleId="CommentSubjectChar">
    <w:name w:val="Comment Subject Char"/>
    <w:link w:val="CommentSubject"/>
    <w:uiPriority w:val="99"/>
    <w:semiHidden/>
    <w:locked/>
    <w:rPr>
      <w:b/>
      <w:bCs/>
      <w:lang w:eastAsia="en-US"/>
    </w:rPr>
  </w:style>
  <w:style w:type="character" w:customStyle="1" w:styleId="Style11pt">
    <w:name w:val="Style 11 pt"/>
    <w:rsid w:val="00B41A93"/>
    <w:rPr>
      <w:sz w:val="22"/>
    </w:rPr>
  </w:style>
  <w:style w:type="paragraph" w:customStyle="1" w:styleId="ListDash">
    <w:name w:val="List Dash"/>
    <w:basedOn w:val="Normal"/>
    <w:rsid w:val="005E7B2D"/>
    <w:pPr>
      <w:tabs>
        <w:tab w:val="num" w:pos="283"/>
        <w:tab w:val="num" w:pos="567"/>
      </w:tabs>
      <w:spacing w:after="240"/>
      <w:ind w:left="283" w:hanging="283"/>
    </w:pPr>
    <w:rPr>
      <w:lang w:val="fr-FR"/>
    </w:rPr>
  </w:style>
  <w:style w:type="paragraph" w:customStyle="1" w:styleId="Style11ptJustifiedAfter6pt">
    <w:name w:val="Style 11 pt Justified After:  6 pt"/>
    <w:basedOn w:val="Normal"/>
    <w:rsid w:val="005E7B2D"/>
    <w:rPr>
      <w:szCs w:val="22"/>
      <w:lang w:eastAsia="en-GB"/>
    </w:rPr>
  </w:style>
  <w:style w:type="paragraph" w:styleId="ListNumber2">
    <w:name w:val="List Number 2"/>
    <w:basedOn w:val="Text2"/>
    <w:uiPriority w:val="99"/>
    <w:rsid w:val="005E7B2D"/>
    <w:pPr>
      <w:tabs>
        <w:tab w:val="clear" w:pos="2161"/>
        <w:tab w:val="num" w:pos="0"/>
        <w:tab w:val="num" w:pos="643"/>
        <w:tab w:val="num" w:pos="1485"/>
        <w:tab w:val="num" w:pos="1911"/>
      </w:tabs>
      <w:ind w:left="1911" w:hanging="709"/>
    </w:pPr>
  </w:style>
  <w:style w:type="paragraph" w:customStyle="1" w:styleId="ListNumber2Level2">
    <w:name w:val="List Number 2 (Level 2)"/>
    <w:basedOn w:val="Text2"/>
    <w:rsid w:val="005E7B2D"/>
    <w:pPr>
      <w:numPr>
        <w:ilvl w:val="1"/>
        <w:numId w:val="12"/>
      </w:numPr>
      <w:tabs>
        <w:tab w:val="clear" w:pos="2161"/>
        <w:tab w:val="num" w:pos="643"/>
        <w:tab w:val="num" w:pos="1485"/>
        <w:tab w:val="num" w:pos="2619"/>
      </w:tabs>
      <w:ind w:left="2619" w:hanging="708"/>
    </w:pPr>
  </w:style>
  <w:style w:type="paragraph" w:customStyle="1" w:styleId="ListNumber2Level3">
    <w:name w:val="List Number 2 (Level 3)"/>
    <w:basedOn w:val="Text2"/>
    <w:rsid w:val="005E7B2D"/>
    <w:pPr>
      <w:numPr>
        <w:ilvl w:val="2"/>
        <w:numId w:val="12"/>
      </w:numPr>
      <w:tabs>
        <w:tab w:val="clear" w:pos="2161"/>
        <w:tab w:val="num" w:pos="643"/>
        <w:tab w:val="num" w:pos="1485"/>
        <w:tab w:val="num" w:pos="3328"/>
      </w:tabs>
      <w:ind w:left="3328" w:hanging="709"/>
    </w:pPr>
  </w:style>
  <w:style w:type="paragraph" w:customStyle="1" w:styleId="ListNumber2Level4">
    <w:name w:val="List Number 2 (Level 4)"/>
    <w:basedOn w:val="Text2"/>
    <w:rsid w:val="005E7B2D"/>
    <w:pPr>
      <w:numPr>
        <w:ilvl w:val="3"/>
        <w:numId w:val="12"/>
      </w:numPr>
      <w:tabs>
        <w:tab w:val="clear" w:pos="2161"/>
        <w:tab w:val="num" w:pos="643"/>
        <w:tab w:val="num" w:pos="1485"/>
        <w:tab w:val="num" w:pos="4037"/>
      </w:tabs>
      <w:ind w:left="4037" w:hanging="709"/>
    </w:pPr>
  </w:style>
  <w:style w:type="character" w:styleId="Strong">
    <w:name w:val="Strong"/>
    <w:uiPriority w:val="22"/>
    <w:rsid w:val="005D1CFA"/>
    <w:rPr>
      <w:rFonts w:cs="Times New Roman"/>
      <w:b/>
    </w:rPr>
  </w:style>
  <w:style w:type="paragraph" w:styleId="Revision">
    <w:name w:val="Revision"/>
    <w:hidden/>
    <w:uiPriority w:val="99"/>
    <w:semiHidden/>
    <w:rsid w:val="005E7B2D"/>
    <w:rPr>
      <w:sz w:val="24"/>
      <w:lang w:eastAsia="en-US"/>
    </w:rPr>
  </w:style>
  <w:style w:type="paragraph" w:styleId="ListParagraph">
    <w:name w:val="List Paragraph"/>
    <w:basedOn w:val="Normal"/>
    <w:uiPriority w:val="34"/>
    <w:qFormat/>
    <w:rsid w:val="005E7B2D"/>
    <w:pPr>
      <w:ind w:left="708"/>
    </w:pPr>
  </w:style>
  <w:style w:type="paragraph" w:styleId="TOAHeading">
    <w:name w:val="toa heading"/>
    <w:basedOn w:val="Normal"/>
    <w:next w:val="Normal"/>
    <w:uiPriority w:val="99"/>
    <w:rsid w:val="005E7B2D"/>
    <w:rPr>
      <w:rFonts w:ascii="Cambria" w:hAnsi="Cambria"/>
      <w:b/>
      <w:bCs/>
      <w:szCs w:val="24"/>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Appel note de bas de page,16 Point,SUPERS,BV"/>
    <w:link w:val="Char2"/>
    <w:uiPriority w:val="99"/>
    <w:qFormat/>
    <w:locked/>
    <w:rsid w:val="004D357E"/>
    <w:rPr>
      <w:sz w:val="24"/>
      <w:vertAlign w:val="superscript"/>
    </w:rPr>
  </w:style>
  <w:style w:type="paragraph" w:styleId="BalloonText">
    <w:name w:val="Balloon Text"/>
    <w:basedOn w:val="Normal"/>
    <w:link w:val="BalloonTextChar"/>
    <w:uiPriority w:val="99"/>
    <w:rsid w:val="005E7B2D"/>
    <w:pPr>
      <w:spacing w:after="0"/>
    </w:pPr>
    <w:rPr>
      <w:rFonts w:ascii="Tahoma" w:hAnsi="Tahoma" w:cs="Tahoma"/>
      <w:sz w:val="16"/>
      <w:szCs w:val="16"/>
    </w:rPr>
  </w:style>
  <w:style w:type="character" w:customStyle="1" w:styleId="BalloonTextChar">
    <w:name w:val="Balloon Text Char"/>
    <w:link w:val="BalloonText"/>
    <w:uiPriority w:val="99"/>
    <w:locked/>
    <w:rsid w:val="00AF32BC"/>
    <w:rPr>
      <w:rFonts w:ascii="Tahoma" w:hAnsi="Tahoma" w:cs="Tahoma"/>
      <w:sz w:val="16"/>
      <w:szCs w:val="16"/>
      <w:lang w:eastAsia="en-US"/>
    </w:rPr>
  </w:style>
  <w:style w:type="character" w:styleId="CommentReference">
    <w:name w:val="annotation reference"/>
    <w:uiPriority w:val="99"/>
    <w:rsid w:val="00A6227D"/>
    <w:rPr>
      <w:rFonts w:cs="Times New Roman"/>
      <w:sz w:val="16"/>
    </w:rPr>
  </w:style>
  <w:style w:type="paragraph" w:customStyle="1" w:styleId="Default">
    <w:name w:val="Default"/>
    <w:rsid w:val="005E7B2D"/>
    <w:pPr>
      <w:autoSpaceDE w:val="0"/>
      <w:autoSpaceDN w:val="0"/>
      <w:adjustRightInd w:val="0"/>
    </w:pPr>
    <w:rPr>
      <w:color w:val="000000"/>
      <w:sz w:val="24"/>
      <w:szCs w:val="24"/>
    </w:rPr>
  </w:style>
  <w:style w:type="paragraph" w:customStyle="1" w:styleId="Char2">
    <w:name w:val="Char2"/>
    <w:basedOn w:val="Normal"/>
    <w:link w:val="FootnoteReference"/>
    <w:uiPriority w:val="99"/>
    <w:rsid w:val="005E7B2D"/>
    <w:pPr>
      <w:spacing w:after="160" w:line="240" w:lineRule="exact"/>
      <w:jc w:val="left"/>
    </w:pPr>
    <w:rPr>
      <w:sz w:val="24"/>
      <w:vertAlign w:val="superscript"/>
      <w:lang w:eastAsia="en-GB"/>
    </w:rPr>
  </w:style>
  <w:style w:type="paragraph" w:customStyle="1" w:styleId="Guidelines31">
    <w:name w:val="Guidelines 31"/>
    <w:basedOn w:val="Normal"/>
    <w:next w:val="Normal"/>
    <w:autoRedefine/>
    <w:qFormat/>
    <w:rsid w:val="005E7B2D"/>
    <w:pPr>
      <w:pBdr>
        <w:top w:val="single" w:sz="4" w:space="1" w:color="auto"/>
        <w:left w:val="single" w:sz="4" w:space="4" w:color="auto"/>
        <w:bottom w:val="single" w:sz="4" w:space="1" w:color="auto"/>
        <w:right w:val="single" w:sz="4" w:space="4" w:color="auto"/>
      </w:pBdr>
      <w:tabs>
        <w:tab w:val="num" w:pos="283"/>
        <w:tab w:val="num" w:pos="567"/>
        <w:tab w:val="left" w:pos="900"/>
      </w:tabs>
      <w:spacing w:after="40"/>
      <w:ind w:left="851" w:hanging="851"/>
      <w:jc w:val="left"/>
    </w:pPr>
    <w:rPr>
      <w:b/>
      <w:i/>
      <w:sz w:val="24"/>
    </w:rPr>
  </w:style>
  <w:style w:type="character" w:customStyle="1" w:styleId="En-tte6">
    <w:name w:val="En-tête #6_"/>
    <w:link w:val="En-tte60"/>
    <w:locked/>
    <w:rsid w:val="00416503"/>
    <w:rPr>
      <w:shd w:val="clear" w:color="auto" w:fill="FFFFFF"/>
    </w:rPr>
  </w:style>
  <w:style w:type="character" w:customStyle="1" w:styleId="Corpsdutexte">
    <w:name w:val="Corps du texte_"/>
    <w:link w:val="Corpsdutexte0"/>
    <w:locked/>
    <w:rsid w:val="00416503"/>
    <w:rPr>
      <w:shd w:val="clear" w:color="auto" w:fill="FFFFFF"/>
    </w:rPr>
  </w:style>
  <w:style w:type="character" w:customStyle="1" w:styleId="CorpsdutexteGras">
    <w:name w:val="Corps du texte + Gras"/>
    <w:rsid w:val="00416503"/>
    <w:rPr>
      <w:rFonts w:ascii="Times New Roman" w:hAnsi="Times New Roman" w:cs="Times New Roman"/>
      <w:b/>
      <w:bCs/>
      <w:color w:val="000000"/>
      <w:spacing w:val="0"/>
      <w:w w:val="100"/>
      <w:position w:val="0"/>
      <w:shd w:val="clear" w:color="auto" w:fill="FFFFFF"/>
      <w:lang w:val="en-US" w:eastAsia="x-none"/>
    </w:rPr>
  </w:style>
  <w:style w:type="paragraph" w:customStyle="1" w:styleId="En-tte60">
    <w:name w:val="En-tête #6"/>
    <w:basedOn w:val="Normal"/>
    <w:link w:val="En-tte6"/>
    <w:rsid w:val="005E7B2D"/>
    <w:pPr>
      <w:widowControl w:val="0"/>
      <w:shd w:val="clear" w:color="auto" w:fill="FFFFFF"/>
      <w:spacing w:before="240" w:after="300" w:line="240" w:lineRule="atLeast"/>
      <w:ind w:hanging="380"/>
      <w:jc w:val="center"/>
      <w:outlineLvl w:val="5"/>
    </w:pPr>
    <w:rPr>
      <w:sz w:val="20"/>
      <w:lang w:eastAsia="en-GB"/>
    </w:rPr>
  </w:style>
  <w:style w:type="paragraph" w:customStyle="1" w:styleId="Corpsdutexte0">
    <w:name w:val="Corps du texte"/>
    <w:basedOn w:val="Normal"/>
    <w:link w:val="Corpsdutexte"/>
    <w:rsid w:val="005E7B2D"/>
    <w:pPr>
      <w:widowControl w:val="0"/>
      <w:shd w:val="clear" w:color="auto" w:fill="FFFFFF"/>
      <w:spacing w:before="300" w:after="240" w:line="254" w:lineRule="exact"/>
      <w:ind w:hanging="1280"/>
    </w:pPr>
    <w:rPr>
      <w:sz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page number" w:uiPriority="99"/>
    <w:lsdException w:name="toa heading" w:uiPriority="99"/>
    <w:lsdException w:name="List Bullet" w:uiPriority="99"/>
    <w:lsdException w:name="List Bullet 5" w:uiPriority="99"/>
    <w:lsdException w:name="List Number 2" w:uiPriority="99"/>
    <w:lsdException w:name="Title" w:uiPriority="10"/>
    <w:lsdException w:name="Default Paragraph Font" w:uiPriority="1"/>
    <w:lsdException w:name="Body Text Indent" w:uiPriority="99"/>
    <w:lsdException w:name="Subtitle" w:uiPriority="11"/>
    <w:lsdException w:name="Hyperlink" w:uiPriority="99"/>
    <w:lsdException w:name="FollowedHyperlink" w:uiPriority="99"/>
    <w:lsdException w:name="Strong" w:uiPriority="22"/>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84F0E"/>
    <w:pPr>
      <w:spacing w:before="120" w:after="120"/>
      <w:jc w:val="both"/>
    </w:pPr>
    <w:rPr>
      <w:sz w:val="22"/>
      <w:lang w:eastAsia="en-US"/>
    </w:rPr>
  </w:style>
  <w:style w:type="paragraph" w:styleId="Heading1">
    <w:name w:val="heading 1"/>
    <w:basedOn w:val="Normal"/>
    <w:next w:val="Normal"/>
    <w:link w:val="Heading1Char"/>
    <w:uiPriority w:val="9"/>
    <w:rsid w:val="005E7B2D"/>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rsid w:val="005E7B2D"/>
    <w:pPr>
      <w:keepNext/>
      <w:keepLines/>
      <w:numPr>
        <w:ilvl w:val="1"/>
        <w:numId w:val="8"/>
      </w:numPr>
      <w:tabs>
        <w:tab w:val="clear" w:pos="360"/>
        <w:tab w:val="num" w:pos="283"/>
        <w:tab w:val="num" w:pos="567"/>
      </w:tabs>
      <w:ind w:left="283" w:hanging="283"/>
      <w:outlineLvl w:val="1"/>
    </w:pPr>
    <w:rPr>
      <w:b/>
    </w:rPr>
  </w:style>
  <w:style w:type="paragraph" w:styleId="Heading3">
    <w:name w:val="heading 3"/>
    <w:basedOn w:val="Normal"/>
    <w:next w:val="Normal"/>
    <w:link w:val="Heading3Char"/>
    <w:uiPriority w:val="9"/>
    <w:rsid w:val="005E7B2D"/>
    <w:pPr>
      <w:keepNext/>
      <w:numPr>
        <w:ilvl w:val="2"/>
        <w:numId w:val="8"/>
      </w:numPr>
      <w:tabs>
        <w:tab w:val="clear" w:pos="360"/>
        <w:tab w:val="num" w:pos="283"/>
        <w:tab w:val="num" w:pos="1440"/>
      </w:tabs>
      <w:spacing w:before="240" w:after="60"/>
      <w:ind w:left="283" w:hanging="283"/>
      <w:outlineLvl w:val="2"/>
    </w:pPr>
    <w:rPr>
      <w:b/>
    </w:rPr>
  </w:style>
  <w:style w:type="paragraph" w:styleId="Heading4">
    <w:name w:val="heading 4"/>
    <w:basedOn w:val="Normal"/>
    <w:next w:val="Text4"/>
    <w:link w:val="Heading4Char"/>
    <w:uiPriority w:val="9"/>
    <w:rsid w:val="005E7B2D"/>
    <w:pPr>
      <w:keepNext/>
      <w:spacing w:after="240"/>
      <w:ind w:left="1984" w:hanging="782"/>
      <w:outlineLvl w:val="3"/>
    </w:pPr>
  </w:style>
  <w:style w:type="paragraph" w:styleId="Heading5">
    <w:name w:val="heading 5"/>
    <w:basedOn w:val="Normal"/>
    <w:next w:val="Normal"/>
    <w:link w:val="Heading5Char"/>
    <w:uiPriority w:val="9"/>
    <w:rsid w:val="005E7B2D"/>
    <w:pPr>
      <w:numPr>
        <w:ilvl w:val="1"/>
        <w:numId w:val="7"/>
      </w:numPr>
      <w:tabs>
        <w:tab w:val="num" w:pos="0"/>
      </w:tabs>
      <w:spacing w:before="240" w:after="60"/>
      <w:outlineLvl w:val="4"/>
    </w:pPr>
    <w:rPr>
      <w:rFonts w:ascii="Arial" w:hAnsi="Arial"/>
    </w:rPr>
  </w:style>
  <w:style w:type="paragraph" w:styleId="Heading6">
    <w:name w:val="heading 6"/>
    <w:basedOn w:val="Normal"/>
    <w:next w:val="Normal"/>
    <w:link w:val="Heading6Char"/>
    <w:uiPriority w:val="9"/>
    <w:rsid w:val="005E7B2D"/>
    <w:pPr>
      <w:numPr>
        <w:ilvl w:val="2"/>
        <w:numId w:val="7"/>
      </w:numPr>
      <w:tabs>
        <w:tab w:val="num" w:pos="0"/>
      </w:tabs>
      <w:spacing w:before="240" w:after="60"/>
      <w:outlineLvl w:val="5"/>
    </w:pPr>
    <w:rPr>
      <w:rFonts w:ascii="Arial" w:hAnsi="Arial"/>
      <w:i/>
    </w:rPr>
  </w:style>
  <w:style w:type="paragraph" w:styleId="Heading7">
    <w:name w:val="heading 7"/>
    <w:basedOn w:val="Normal"/>
    <w:next w:val="Normal"/>
    <w:link w:val="Heading7Char"/>
    <w:uiPriority w:val="9"/>
    <w:rsid w:val="005E7B2D"/>
    <w:pPr>
      <w:numPr>
        <w:ilvl w:val="6"/>
        <w:numId w:val="7"/>
      </w:num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
    <w:rsid w:val="005E7B2D"/>
    <w:pPr>
      <w:numPr>
        <w:ilvl w:val="7"/>
        <w:numId w:val="7"/>
      </w:num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
    <w:rsid w:val="005E7B2D"/>
    <w:pPr>
      <w:numPr>
        <w:ilvl w:val="8"/>
        <w:numId w:val="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Arial" w:hAnsi="Arial"/>
      <w:b/>
      <w:kern w:val="28"/>
      <w:sz w:val="28"/>
      <w:lang w:eastAsia="en-US"/>
    </w:rPr>
  </w:style>
  <w:style w:type="character" w:customStyle="1" w:styleId="Heading2Char">
    <w:name w:val="Heading 2 Char"/>
    <w:link w:val="Heading2"/>
    <w:uiPriority w:val="9"/>
    <w:locked/>
    <w:rPr>
      <w:b/>
      <w:sz w:val="22"/>
      <w:lang w:eastAsia="en-US"/>
    </w:rPr>
  </w:style>
  <w:style w:type="character" w:customStyle="1" w:styleId="Heading3Char">
    <w:name w:val="Heading 3 Char"/>
    <w:link w:val="Heading3"/>
    <w:uiPriority w:val="9"/>
    <w:locked/>
    <w:rPr>
      <w:b/>
      <w:sz w:val="22"/>
      <w:lang w:eastAsia="en-US"/>
    </w:rPr>
  </w:style>
  <w:style w:type="character" w:customStyle="1" w:styleId="Heading4Char">
    <w:name w:val="Heading 4 Char"/>
    <w:link w:val="Heading4"/>
    <w:uiPriority w:val="9"/>
    <w:locked/>
    <w:rsid w:val="008109C1"/>
    <w:rPr>
      <w:sz w:val="22"/>
      <w:lang w:eastAsia="en-US"/>
    </w:rPr>
  </w:style>
  <w:style w:type="character" w:customStyle="1" w:styleId="Heading5Char">
    <w:name w:val="Heading 5 Char"/>
    <w:link w:val="Heading5"/>
    <w:uiPriority w:val="9"/>
    <w:locked/>
    <w:rPr>
      <w:rFonts w:ascii="Arial" w:hAnsi="Arial"/>
      <w:sz w:val="22"/>
      <w:lang w:eastAsia="en-US"/>
    </w:rPr>
  </w:style>
  <w:style w:type="character" w:customStyle="1" w:styleId="Heading6Char">
    <w:name w:val="Heading 6 Char"/>
    <w:link w:val="Heading6"/>
    <w:uiPriority w:val="9"/>
    <w:locked/>
    <w:rPr>
      <w:rFonts w:ascii="Arial" w:hAnsi="Arial"/>
      <w:i/>
      <w:sz w:val="22"/>
      <w:lang w:eastAsia="en-US"/>
    </w:rPr>
  </w:style>
  <w:style w:type="character" w:customStyle="1" w:styleId="Heading7Char">
    <w:name w:val="Heading 7 Char"/>
    <w:link w:val="Heading7"/>
    <w:uiPriority w:val="9"/>
    <w:locked/>
    <w:rPr>
      <w:rFonts w:ascii="Arial" w:hAnsi="Arial"/>
      <w:lang w:eastAsia="en-US"/>
    </w:rPr>
  </w:style>
  <w:style w:type="character" w:customStyle="1" w:styleId="Heading8Char">
    <w:name w:val="Heading 8 Char"/>
    <w:link w:val="Heading8"/>
    <w:uiPriority w:val="9"/>
    <w:locked/>
    <w:rPr>
      <w:rFonts w:ascii="Arial" w:hAnsi="Arial"/>
      <w:i/>
      <w:lang w:eastAsia="en-US"/>
    </w:rPr>
  </w:style>
  <w:style w:type="character" w:customStyle="1" w:styleId="Heading9Char">
    <w:name w:val="Heading 9 Char"/>
    <w:link w:val="Heading9"/>
    <w:uiPriority w:val="9"/>
    <w:locked/>
    <w:rPr>
      <w:rFonts w:ascii="Arial" w:hAnsi="Arial"/>
      <w:i/>
      <w:sz w:val="18"/>
      <w:lang w:eastAsia="en-US"/>
    </w:rPr>
  </w:style>
  <w:style w:type="paragraph" w:customStyle="1" w:styleId="Text4">
    <w:name w:val="Text 4"/>
    <w:basedOn w:val="Normal"/>
    <w:rsid w:val="005E7B2D"/>
    <w:pPr>
      <w:tabs>
        <w:tab w:val="left" w:pos="2302"/>
      </w:tabs>
      <w:spacing w:after="240"/>
      <w:ind w:left="1202"/>
    </w:pPr>
  </w:style>
  <w:style w:type="paragraph" w:customStyle="1" w:styleId="Application1">
    <w:name w:val="Application1"/>
    <w:basedOn w:val="Heading1"/>
    <w:next w:val="Application2"/>
    <w:rsid w:val="005E7B2D"/>
    <w:pPr>
      <w:pageBreakBefore/>
      <w:widowControl w:val="0"/>
      <w:tabs>
        <w:tab w:val="num" w:pos="360"/>
      </w:tabs>
      <w:spacing w:before="0" w:after="480"/>
      <w:ind w:left="360" w:hanging="360"/>
    </w:pPr>
    <w:rPr>
      <w:caps/>
    </w:rPr>
  </w:style>
  <w:style w:type="paragraph" w:customStyle="1" w:styleId="Application2">
    <w:name w:val="Application2"/>
    <w:basedOn w:val="Normal"/>
    <w:rsid w:val="005E7B2D"/>
    <w:pPr>
      <w:widowControl w:val="0"/>
      <w:tabs>
        <w:tab w:val="left" w:pos="567"/>
      </w:tabs>
      <w:suppressAutoHyphens/>
      <w:ind w:left="482" w:hanging="480"/>
    </w:pPr>
    <w:rPr>
      <w:rFonts w:ascii="Arial" w:hAnsi="Arial"/>
      <w:b/>
      <w:spacing w:val="-2"/>
    </w:rPr>
  </w:style>
  <w:style w:type="paragraph" w:customStyle="1" w:styleId="Application3">
    <w:name w:val="Application3"/>
    <w:basedOn w:val="Normal"/>
    <w:rsid w:val="005E7B2D"/>
    <w:pPr>
      <w:widowControl w:val="0"/>
      <w:numPr>
        <w:numId w:val="4"/>
      </w:numPr>
      <w:tabs>
        <w:tab w:val="num" w:pos="0"/>
        <w:tab w:val="right" w:pos="8789"/>
      </w:tabs>
      <w:suppressAutoHyphens/>
      <w:ind w:left="360"/>
    </w:pPr>
    <w:rPr>
      <w:rFonts w:ascii="Arial" w:hAnsi="Arial"/>
      <w:b/>
      <w:spacing w:val="-2"/>
    </w:rPr>
  </w:style>
  <w:style w:type="paragraph" w:customStyle="1" w:styleId="Application4">
    <w:name w:val="Application4"/>
    <w:basedOn w:val="Application3"/>
    <w:autoRedefine/>
    <w:rsid w:val="005E7B2D"/>
    <w:pPr>
      <w:numPr>
        <w:numId w:val="0"/>
      </w:numPr>
      <w:tabs>
        <w:tab w:val="num" w:pos="1492"/>
      </w:tabs>
      <w:ind w:left="567"/>
    </w:pPr>
    <w:rPr>
      <w:sz w:val="20"/>
    </w:rPr>
  </w:style>
  <w:style w:type="paragraph" w:customStyle="1" w:styleId="Application5">
    <w:name w:val="Application5"/>
    <w:basedOn w:val="Application2"/>
    <w:autoRedefine/>
    <w:rsid w:val="005E7B2D"/>
    <w:pPr>
      <w:tabs>
        <w:tab w:val="clear" w:pos="567"/>
        <w:tab w:val="num" w:pos="0"/>
        <w:tab w:val="num" w:pos="643"/>
      </w:tabs>
      <w:ind w:left="360" w:hanging="360"/>
    </w:pPr>
    <w:rPr>
      <w:sz w:val="24"/>
    </w:rPr>
  </w:style>
  <w:style w:type="paragraph" w:customStyle="1" w:styleId="NumPar4">
    <w:name w:val="NumPar 4"/>
    <w:basedOn w:val="Heading4"/>
    <w:next w:val="Text4"/>
    <w:rsid w:val="005E7B2D"/>
    <w:pPr>
      <w:keepNext w:val="0"/>
    </w:pPr>
  </w:style>
  <w:style w:type="paragraph" w:styleId="Title">
    <w:name w:val="Title"/>
    <w:basedOn w:val="Normal"/>
    <w:next w:val="SubTitle1"/>
    <w:link w:val="TitleChar"/>
    <w:uiPriority w:val="10"/>
    <w:rsid w:val="005E7B2D"/>
    <w:pPr>
      <w:spacing w:after="480"/>
      <w:jc w:val="center"/>
    </w:pPr>
    <w:rPr>
      <w:b/>
      <w:sz w:val="48"/>
    </w:rPr>
  </w:style>
  <w:style w:type="character" w:customStyle="1" w:styleId="TitleChar">
    <w:name w:val="Title Char"/>
    <w:link w:val="Title"/>
    <w:uiPriority w:val="10"/>
    <w:locked/>
    <w:rPr>
      <w:b/>
      <w:sz w:val="48"/>
      <w:lang w:eastAsia="en-US"/>
    </w:rPr>
  </w:style>
  <w:style w:type="paragraph" w:customStyle="1" w:styleId="SubTitle1">
    <w:name w:val="SubTitle 1"/>
    <w:basedOn w:val="Normal"/>
    <w:next w:val="SubTitle2"/>
    <w:rsid w:val="005E7B2D"/>
    <w:pPr>
      <w:spacing w:after="240"/>
      <w:jc w:val="center"/>
    </w:pPr>
    <w:rPr>
      <w:b/>
      <w:sz w:val="40"/>
    </w:rPr>
  </w:style>
  <w:style w:type="paragraph" w:customStyle="1" w:styleId="SubTitle2">
    <w:name w:val="SubTitle 2"/>
    <w:basedOn w:val="Normal"/>
    <w:rsid w:val="005E7B2D"/>
    <w:pPr>
      <w:spacing w:after="240"/>
      <w:jc w:val="center"/>
    </w:pPr>
    <w:rPr>
      <w:b/>
      <w:sz w:val="32"/>
    </w:rPr>
  </w:style>
  <w:style w:type="paragraph" w:customStyle="1" w:styleId="PartTitle">
    <w:name w:val="PartTitle"/>
    <w:basedOn w:val="Normal"/>
    <w:next w:val="Normal"/>
    <w:rsid w:val="005E7B2D"/>
    <w:pPr>
      <w:keepNext/>
      <w:pageBreakBefore/>
      <w:spacing w:after="480"/>
      <w:jc w:val="center"/>
    </w:pPr>
    <w:rPr>
      <w:b/>
      <w:sz w:val="36"/>
    </w:rPr>
  </w:style>
  <w:style w:type="paragraph" w:customStyle="1" w:styleId="SectionTitle">
    <w:name w:val="SectionTitle"/>
    <w:basedOn w:val="Normal"/>
    <w:next w:val="Heading1"/>
    <w:rsid w:val="005E7B2D"/>
    <w:pPr>
      <w:keepNext/>
      <w:spacing w:after="480"/>
      <w:jc w:val="center"/>
    </w:pPr>
    <w:rPr>
      <w:b/>
      <w:smallCaps/>
      <w:sz w:val="28"/>
    </w:rPr>
  </w:style>
  <w:style w:type="paragraph" w:styleId="TOC1">
    <w:name w:val="toc 1"/>
    <w:basedOn w:val="Normal"/>
    <w:next w:val="Normal"/>
    <w:autoRedefine/>
    <w:uiPriority w:val="39"/>
    <w:rsid w:val="005E7B2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5E7B2D"/>
    <w:pPr>
      <w:tabs>
        <w:tab w:val="left" w:pos="709"/>
        <w:tab w:val="right" w:leader="dot" w:pos="9628"/>
      </w:tabs>
      <w:spacing w:after="80"/>
      <w:ind w:left="709" w:hanging="425"/>
    </w:pPr>
  </w:style>
  <w:style w:type="paragraph" w:styleId="TOC3">
    <w:name w:val="toc 3"/>
    <w:basedOn w:val="Normal"/>
    <w:next w:val="Normal"/>
    <w:autoRedefine/>
    <w:uiPriority w:val="39"/>
    <w:rsid w:val="005E7B2D"/>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semiHidden/>
    <w:rsid w:val="005E7B2D"/>
    <w:pPr>
      <w:ind w:left="480"/>
    </w:pPr>
    <w:rPr>
      <w:sz w:val="20"/>
    </w:rPr>
  </w:style>
  <w:style w:type="paragraph" w:customStyle="1" w:styleId="AnnexTOC">
    <w:name w:val="AnnexTOC"/>
    <w:basedOn w:val="TOC1"/>
    <w:rsid w:val="005E7B2D"/>
  </w:style>
  <w:style w:type="paragraph" w:customStyle="1" w:styleId="Guidelines1">
    <w:name w:val="Guidelines 1"/>
    <w:basedOn w:val="Normal"/>
    <w:autoRedefine/>
    <w:qFormat/>
    <w:rsid w:val="005E7B2D"/>
    <w:pPr>
      <w:widowControl w:val="0"/>
      <w:numPr>
        <w:numId w:val="15"/>
      </w:numPr>
      <w:spacing w:after="360"/>
    </w:pPr>
    <w:rPr>
      <w:rFonts w:ascii="Times New Roman Bold" w:hAnsi="Times New Roman Bold"/>
      <w:b/>
      <w:caps/>
      <w:sz w:val="32"/>
    </w:rPr>
  </w:style>
  <w:style w:type="paragraph" w:customStyle="1" w:styleId="Guidelines2">
    <w:name w:val="Guidelines 2"/>
    <w:basedOn w:val="Normal"/>
    <w:next w:val="Normal"/>
    <w:autoRedefine/>
    <w:qFormat/>
    <w:rsid w:val="005E7B2D"/>
    <w:pPr>
      <w:numPr>
        <w:ilvl w:val="1"/>
        <w:numId w:val="15"/>
      </w:numPr>
      <w:spacing w:before="240"/>
      <w:outlineLvl w:val="0"/>
    </w:pPr>
    <w:rPr>
      <w:rFonts w:ascii="Times New Roman Bold" w:hAnsi="Times New Roman Bold"/>
      <w:b/>
      <w:smallCaps/>
      <w:sz w:val="28"/>
    </w:rPr>
  </w:style>
  <w:style w:type="paragraph" w:customStyle="1" w:styleId="Text1">
    <w:name w:val="Text 1"/>
    <w:basedOn w:val="Normal"/>
    <w:rsid w:val="005E7B2D"/>
    <w:pPr>
      <w:spacing w:after="240"/>
      <w:ind w:left="482"/>
    </w:pPr>
  </w:style>
  <w:style w:type="paragraph" w:customStyle="1" w:styleId="Guidelines3">
    <w:name w:val="Guidelines 3"/>
    <w:basedOn w:val="Normal"/>
    <w:next w:val="Normal"/>
    <w:autoRedefine/>
    <w:qFormat/>
    <w:rsid w:val="005E7B2D"/>
    <w:pPr>
      <w:pBdr>
        <w:top w:val="single" w:sz="4" w:space="1" w:color="auto"/>
        <w:left w:val="single" w:sz="4" w:space="4" w:color="auto"/>
        <w:bottom w:val="single" w:sz="4" w:space="1" w:color="auto"/>
        <w:right w:val="single" w:sz="4" w:space="4" w:color="auto"/>
      </w:pBdr>
      <w:tabs>
        <w:tab w:val="left" w:pos="900"/>
      </w:tabs>
      <w:spacing w:after="40"/>
      <w:jc w:val="left"/>
    </w:pPr>
    <w:rPr>
      <w:b/>
      <w:i/>
      <w:sz w:val="24"/>
    </w:rPr>
  </w:style>
  <w:style w:type="paragraph" w:customStyle="1" w:styleId="Text2">
    <w:name w:val="Text 2"/>
    <w:basedOn w:val="Normal"/>
    <w:rsid w:val="005E7B2D"/>
    <w:pPr>
      <w:tabs>
        <w:tab w:val="left" w:pos="2161"/>
      </w:tabs>
      <w:spacing w:after="240"/>
      <w:ind w:left="1202"/>
    </w:pPr>
  </w:style>
  <w:style w:type="paragraph" w:customStyle="1" w:styleId="p3">
    <w:name w:val="p3"/>
    <w:basedOn w:val="Normal"/>
    <w:rsid w:val="005E7B2D"/>
    <w:pPr>
      <w:widowControl w:val="0"/>
      <w:tabs>
        <w:tab w:val="left" w:pos="1420"/>
      </w:tabs>
      <w:spacing w:line="260" w:lineRule="atLeast"/>
      <w:ind w:left="360"/>
    </w:pPr>
  </w:style>
  <w:style w:type="paragraph" w:customStyle="1" w:styleId="Guidelines4">
    <w:name w:val="Guidelines 4"/>
    <w:basedOn w:val="Normal"/>
    <w:next w:val="Normal"/>
    <w:autoRedefine/>
    <w:rsid w:val="005E7B2D"/>
    <w:pPr>
      <w:spacing w:before="240" w:after="240"/>
    </w:pPr>
    <w:rPr>
      <w:b/>
      <w:sz w:val="24"/>
    </w:rPr>
  </w:style>
  <w:style w:type="character" w:styleId="Hyperlink">
    <w:name w:val="Hyperlink"/>
    <w:uiPriority w:val="99"/>
    <w:rPr>
      <w:rFonts w:cs="Times New Roman"/>
      <w:color w:val="0000FF"/>
      <w:u w:val="single"/>
    </w:rPr>
  </w:style>
  <w:style w:type="paragraph" w:customStyle="1" w:styleId="References">
    <w:name w:val="References"/>
    <w:basedOn w:val="Normal"/>
    <w:next w:val="Normal"/>
    <w:rsid w:val="005E7B2D"/>
    <w:pPr>
      <w:spacing w:after="240"/>
      <w:ind w:left="5103"/>
    </w:pPr>
    <w:rPr>
      <w:sz w:val="20"/>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qFormat/>
    <w:rsid w:val="005E7B2D"/>
    <w:pPr>
      <w:spacing w:after="0"/>
      <w:ind w:left="284" w:hanging="284"/>
    </w:pPr>
    <w:rPr>
      <w:sz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uiPriority w:val="99"/>
    <w:locked/>
    <w:rsid w:val="0040358C"/>
    <w:rPr>
      <w:lang w:eastAsia="en-US"/>
    </w:rPr>
  </w:style>
  <w:style w:type="paragraph" w:styleId="Header">
    <w:name w:val="header"/>
    <w:basedOn w:val="Normal"/>
    <w:link w:val="HeaderChar"/>
    <w:uiPriority w:val="99"/>
    <w:rsid w:val="005E7B2D"/>
    <w:pPr>
      <w:tabs>
        <w:tab w:val="center" w:pos="4153"/>
        <w:tab w:val="right" w:pos="8306"/>
      </w:tabs>
      <w:spacing w:after="240"/>
    </w:pPr>
  </w:style>
  <w:style w:type="character" w:customStyle="1" w:styleId="HeaderChar">
    <w:name w:val="Header Char"/>
    <w:link w:val="Header"/>
    <w:uiPriority w:val="99"/>
    <w:locked/>
    <w:rPr>
      <w:sz w:val="22"/>
      <w:lang w:eastAsia="en-US"/>
    </w:rPr>
  </w:style>
  <w:style w:type="character" w:styleId="PageNumber">
    <w:name w:val="page number"/>
    <w:uiPriority w:val="99"/>
    <w:rPr>
      <w:rFonts w:cs="Times New Roman"/>
    </w:rPr>
  </w:style>
  <w:style w:type="paragraph" w:styleId="Footer">
    <w:name w:val="footer"/>
    <w:basedOn w:val="Normal"/>
    <w:link w:val="FooterChar"/>
    <w:uiPriority w:val="99"/>
    <w:rsid w:val="005E7B2D"/>
    <w:pPr>
      <w:ind w:right="-567"/>
    </w:pPr>
    <w:rPr>
      <w:rFonts w:ascii="Arial" w:hAnsi="Arial"/>
      <w:sz w:val="16"/>
    </w:rPr>
  </w:style>
  <w:style w:type="character" w:customStyle="1" w:styleId="FooterChar">
    <w:name w:val="Footer Char"/>
    <w:link w:val="Footer"/>
    <w:uiPriority w:val="99"/>
    <w:locked/>
    <w:rPr>
      <w:rFonts w:ascii="Arial" w:hAnsi="Arial"/>
      <w:sz w:val="16"/>
      <w:lang w:eastAsia="en-US"/>
    </w:rPr>
  </w:style>
  <w:style w:type="paragraph" w:customStyle="1" w:styleId="Style0">
    <w:name w:val="Style0"/>
    <w:rsid w:val="005E7B2D"/>
    <w:rPr>
      <w:rFonts w:ascii="Arial" w:hAnsi="Arial"/>
      <w:sz w:val="24"/>
      <w:lang w:val="en-US" w:eastAsia="en-US"/>
    </w:rPr>
  </w:style>
  <w:style w:type="paragraph" w:customStyle="1" w:styleId="Text3">
    <w:name w:val="Text 3"/>
    <w:basedOn w:val="Normal"/>
    <w:rsid w:val="005E7B2D"/>
    <w:pPr>
      <w:tabs>
        <w:tab w:val="left" w:pos="2302"/>
      </w:tabs>
      <w:spacing w:after="240"/>
      <w:ind w:left="1202"/>
    </w:pPr>
  </w:style>
  <w:style w:type="paragraph" w:styleId="BodyTextIndent">
    <w:name w:val="Body Text Indent"/>
    <w:basedOn w:val="Normal"/>
    <w:link w:val="BodyTextIndentChar"/>
    <w:uiPriority w:val="99"/>
    <w:rsid w:val="005E7B2D"/>
  </w:style>
  <w:style w:type="character" w:customStyle="1" w:styleId="BodyTextIndentChar">
    <w:name w:val="Body Text Indent Char"/>
    <w:link w:val="BodyTextIndent"/>
    <w:uiPriority w:val="99"/>
    <w:locked/>
    <w:rsid w:val="0090351E"/>
    <w:rPr>
      <w:sz w:val="22"/>
      <w:lang w:eastAsia="en-US"/>
    </w:rPr>
  </w:style>
  <w:style w:type="paragraph" w:styleId="TOC5">
    <w:name w:val="toc 5"/>
    <w:basedOn w:val="Normal"/>
    <w:next w:val="Normal"/>
    <w:autoRedefine/>
    <w:uiPriority w:val="39"/>
    <w:semiHidden/>
    <w:rsid w:val="005E7B2D"/>
    <w:pPr>
      <w:ind w:left="720"/>
    </w:pPr>
    <w:rPr>
      <w:sz w:val="20"/>
    </w:rPr>
  </w:style>
  <w:style w:type="paragraph" w:styleId="TOC6">
    <w:name w:val="toc 6"/>
    <w:basedOn w:val="Normal"/>
    <w:next w:val="Normal"/>
    <w:autoRedefine/>
    <w:uiPriority w:val="39"/>
    <w:semiHidden/>
    <w:rsid w:val="005E7B2D"/>
    <w:pPr>
      <w:ind w:left="960"/>
    </w:pPr>
    <w:rPr>
      <w:sz w:val="20"/>
    </w:rPr>
  </w:style>
  <w:style w:type="paragraph" w:styleId="TOC7">
    <w:name w:val="toc 7"/>
    <w:basedOn w:val="Normal"/>
    <w:next w:val="Normal"/>
    <w:autoRedefine/>
    <w:uiPriority w:val="39"/>
    <w:semiHidden/>
    <w:rsid w:val="005E7B2D"/>
    <w:pPr>
      <w:ind w:left="1200"/>
    </w:pPr>
    <w:rPr>
      <w:sz w:val="20"/>
    </w:rPr>
  </w:style>
  <w:style w:type="paragraph" w:styleId="TOC8">
    <w:name w:val="toc 8"/>
    <w:basedOn w:val="Normal"/>
    <w:next w:val="Normal"/>
    <w:autoRedefine/>
    <w:uiPriority w:val="39"/>
    <w:semiHidden/>
    <w:rsid w:val="005E7B2D"/>
    <w:pPr>
      <w:ind w:left="1440"/>
    </w:pPr>
    <w:rPr>
      <w:sz w:val="20"/>
    </w:rPr>
  </w:style>
  <w:style w:type="paragraph" w:styleId="TOC9">
    <w:name w:val="toc 9"/>
    <w:basedOn w:val="Normal"/>
    <w:next w:val="Normal"/>
    <w:autoRedefine/>
    <w:uiPriority w:val="39"/>
    <w:semiHidden/>
    <w:rsid w:val="005E7B2D"/>
    <w:pPr>
      <w:ind w:left="1680"/>
    </w:pPr>
    <w:rPr>
      <w:sz w:val="20"/>
    </w:rPr>
  </w:style>
  <w:style w:type="character" w:styleId="FollowedHyperlink">
    <w:name w:val="FollowedHyperlink"/>
    <w:uiPriority w:val="99"/>
    <w:rPr>
      <w:rFonts w:cs="Times New Roman"/>
      <w:color w:val="800080"/>
      <w:u w:val="single"/>
    </w:rPr>
  </w:style>
  <w:style w:type="paragraph" w:customStyle="1" w:styleId="NumPar2">
    <w:name w:val="NumPar 2"/>
    <w:basedOn w:val="Heading2"/>
    <w:next w:val="Text2"/>
    <w:rsid w:val="005E7B2D"/>
    <w:pPr>
      <w:keepNext w:val="0"/>
      <w:keepLines w:val="0"/>
      <w:numPr>
        <w:ilvl w:val="0"/>
        <w:numId w:val="0"/>
      </w:numPr>
      <w:tabs>
        <w:tab w:val="clear" w:pos="567"/>
        <w:tab w:val="num" w:pos="360"/>
      </w:tabs>
      <w:spacing w:after="240"/>
      <w:ind w:left="283" w:hanging="283"/>
      <w:outlineLvl w:val="9"/>
    </w:pPr>
    <w:rPr>
      <w:b w:val="0"/>
      <w:lang w:val="fr-FR"/>
    </w:rPr>
  </w:style>
  <w:style w:type="paragraph" w:styleId="ListBullet5">
    <w:name w:val="List Bullet 5"/>
    <w:basedOn w:val="Normal"/>
    <w:autoRedefine/>
    <w:uiPriority w:val="99"/>
    <w:rsid w:val="005E7B2D"/>
    <w:pPr>
      <w:tabs>
        <w:tab w:val="num" w:pos="360"/>
      </w:tabs>
      <w:spacing w:after="240"/>
      <w:ind w:left="360" w:hanging="360"/>
    </w:pPr>
    <w:rPr>
      <w:lang w:val="fr-FR"/>
    </w:rPr>
  </w:style>
  <w:style w:type="paragraph" w:styleId="ListBullet">
    <w:name w:val="List Bullet"/>
    <w:basedOn w:val="Normal"/>
    <w:link w:val="ListBulletChar"/>
    <w:uiPriority w:val="99"/>
    <w:rsid w:val="005E7B2D"/>
    <w:pPr>
      <w:tabs>
        <w:tab w:val="num" w:pos="567"/>
        <w:tab w:val="num" w:pos="643"/>
      </w:tabs>
      <w:spacing w:after="240"/>
      <w:ind w:left="567" w:hanging="283"/>
    </w:pPr>
    <w:rPr>
      <w:lang w:eastAsia="en-GB"/>
    </w:rPr>
  </w:style>
  <w:style w:type="character" w:customStyle="1" w:styleId="ListBulletChar">
    <w:name w:val="List Bullet Char"/>
    <w:link w:val="ListBullet"/>
    <w:uiPriority w:val="99"/>
    <w:locked/>
    <w:rsid w:val="00CF6359"/>
    <w:rPr>
      <w:sz w:val="22"/>
    </w:rPr>
  </w:style>
  <w:style w:type="paragraph" w:customStyle="1" w:styleId="TOC30">
    <w:name w:val="TOC3"/>
    <w:basedOn w:val="Normal"/>
    <w:rsid w:val="005E7B2D"/>
  </w:style>
  <w:style w:type="paragraph" w:customStyle="1" w:styleId="ListDash2">
    <w:name w:val="List Dash 2"/>
    <w:basedOn w:val="Text2"/>
    <w:rsid w:val="005E7B2D"/>
    <w:pPr>
      <w:tabs>
        <w:tab w:val="clear" w:pos="2161"/>
        <w:tab w:val="num" w:pos="0"/>
        <w:tab w:val="num" w:pos="1485"/>
      </w:tabs>
      <w:ind w:left="1485" w:hanging="283"/>
    </w:pPr>
  </w:style>
  <w:style w:type="table" w:styleId="TableGrid">
    <w:name w:val="Table Grid"/>
    <w:basedOn w:val="TableNormal"/>
    <w:uiPriority w:val="5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rsid w:val="005E7B2D"/>
    <w:pPr>
      <w:jc w:val="center"/>
    </w:pPr>
    <w:rPr>
      <w:rFonts w:ascii="Arial" w:hAnsi="Arial"/>
      <w:b/>
      <w:sz w:val="28"/>
      <w:lang w:val="fr-BE"/>
    </w:rPr>
  </w:style>
  <w:style w:type="character" w:customStyle="1" w:styleId="SubtitleChar">
    <w:name w:val="Subtitle Char"/>
    <w:link w:val="Subtitle"/>
    <w:uiPriority w:val="11"/>
    <w:locked/>
    <w:rPr>
      <w:rFonts w:ascii="Arial" w:hAnsi="Arial"/>
      <w:b/>
      <w:sz w:val="28"/>
      <w:lang w:val="fr-BE" w:eastAsia="en-US"/>
    </w:rPr>
  </w:style>
  <w:style w:type="paragraph" w:customStyle="1" w:styleId="StyleListBullet11pt">
    <w:name w:val="Style List Bullet + 11 pt"/>
    <w:basedOn w:val="ListBullet"/>
    <w:link w:val="StyleListBullet11ptChar"/>
    <w:autoRedefine/>
    <w:rsid w:val="005E7B2D"/>
    <w:pPr>
      <w:spacing w:after="120"/>
    </w:pPr>
  </w:style>
  <w:style w:type="character" w:customStyle="1" w:styleId="StyleListBullet11ptChar">
    <w:name w:val="Style List Bullet + 11 pt Char"/>
    <w:link w:val="StyleListBullet11pt"/>
    <w:locked/>
    <w:rsid w:val="00CF6359"/>
    <w:rPr>
      <w:sz w:val="22"/>
    </w:rPr>
  </w:style>
  <w:style w:type="paragraph" w:styleId="CommentText">
    <w:name w:val="annotation text"/>
    <w:basedOn w:val="Normal"/>
    <w:link w:val="CommentTextChar"/>
    <w:uiPriority w:val="99"/>
    <w:rsid w:val="005E7B2D"/>
    <w:rPr>
      <w:sz w:val="20"/>
    </w:rPr>
  </w:style>
  <w:style w:type="character" w:customStyle="1" w:styleId="CommentTextChar">
    <w:name w:val="Comment Text Char"/>
    <w:link w:val="CommentText"/>
    <w:uiPriority w:val="99"/>
    <w:locked/>
    <w:rsid w:val="00A6227D"/>
    <w:rPr>
      <w:lang w:eastAsia="en-US"/>
    </w:rPr>
  </w:style>
  <w:style w:type="paragraph" w:styleId="CommentSubject">
    <w:name w:val="annotation subject"/>
    <w:basedOn w:val="Normal"/>
    <w:next w:val="CommentText"/>
    <w:link w:val="CommentSubjectChar"/>
    <w:uiPriority w:val="99"/>
    <w:semiHidden/>
    <w:rsid w:val="005E7B2D"/>
    <w:rPr>
      <w:b/>
      <w:bCs/>
      <w:sz w:val="20"/>
    </w:rPr>
  </w:style>
  <w:style w:type="character" w:customStyle="1" w:styleId="CommentSubjectChar">
    <w:name w:val="Comment Subject Char"/>
    <w:link w:val="CommentSubject"/>
    <w:uiPriority w:val="99"/>
    <w:semiHidden/>
    <w:locked/>
    <w:rPr>
      <w:b/>
      <w:bCs/>
      <w:lang w:eastAsia="en-US"/>
    </w:rPr>
  </w:style>
  <w:style w:type="character" w:customStyle="1" w:styleId="Style11pt">
    <w:name w:val="Style 11 pt"/>
    <w:rsid w:val="00B41A93"/>
    <w:rPr>
      <w:sz w:val="22"/>
    </w:rPr>
  </w:style>
  <w:style w:type="paragraph" w:customStyle="1" w:styleId="ListDash">
    <w:name w:val="List Dash"/>
    <w:basedOn w:val="Normal"/>
    <w:rsid w:val="005E7B2D"/>
    <w:pPr>
      <w:tabs>
        <w:tab w:val="num" w:pos="283"/>
        <w:tab w:val="num" w:pos="567"/>
      </w:tabs>
      <w:spacing w:after="240"/>
      <w:ind w:left="283" w:hanging="283"/>
    </w:pPr>
    <w:rPr>
      <w:lang w:val="fr-FR"/>
    </w:rPr>
  </w:style>
  <w:style w:type="paragraph" w:customStyle="1" w:styleId="Style11ptJustifiedAfter6pt">
    <w:name w:val="Style 11 pt Justified After:  6 pt"/>
    <w:basedOn w:val="Normal"/>
    <w:rsid w:val="005E7B2D"/>
    <w:rPr>
      <w:szCs w:val="22"/>
      <w:lang w:eastAsia="en-GB"/>
    </w:rPr>
  </w:style>
  <w:style w:type="paragraph" w:styleId="ListNumber2">
    <w:name w:val="List Number 2"/>
    <w:basedOn w:val="Text2"/>
    <w:uiPriority w:val="99"/>
    <w:rsid w:val="005E7B2D"/>
    <w:pPr>
      <w:tabs>
        <w:tab w:val="clear" w:pos="2161"/>
        <w:tab w:val="num" w:pos="0"/>
        <w:tab w:val="num" w:pos="643"/>
        <w:tab w:val="num" w:pos="1485"/>
        <w:tab w:val="num" w:pos="1911"/>
      </w:tabs>
      <w:ind w:left="1911" w:hanging="709"/>
    </w:pPr>
  </w:style>
  <w:style w:type="paragraph" w:customStyle="1" w:styleId="ListNumber2Level2">
    <w:name w:val="List Number 2 (Level 2)"/>
    <w:basedOn w:val="Text2"/>
    <w:rsid w:val="005E7B2D"/>
    <w:pPr>
      <w:numPr>
        <w:ilvl w:val="1"/>
        <w:numId w:val="12"/>
      </w:numPr>
      <w:tabs>
        <w:tab w:val="clear" w:pos="2161"/>
        <w:tab w:val="num" w:pos="643"/>
        <w:tab w:val="num" w:pos="1485"/>
        <w:tab w:val="num" w:pos="2619"/>
      </w:tabs>
      <w:ind w:left="2619" w:hanging="708"/>
    </w:pPr>
  </w:style>
  <w:style w:type="paragraph" w:customStyle="1" w:styleId="ListNumber2Level3">
    <w:name w:val="List Number 2 (Level 3)"/>
    <w:basedOn w:val="Text2"/>
    <w:rsid w:val="005E7B2D"/>
    <w:pPr>
      <w:numPr>
        <w:ilvl w:val="2"/>
        <w:numId w:val="12"/>
      </w:numPr>
      <w:tabs>
        <w:tab w:val="clear" w:pos="2161"/>
        <w:tab w:val="num" w:pos="643"/>
        <w:tab w:val="num" w:pos="1485"/>
        <w:tab w:val="num" w:pos="3328"/>
      </w:tabs>
      <w:ind w:left="3328" w:hanging="709"/>
    </w:pPr>
  </w:style>
  <w:style w:type="paragraph" w:customStyle="1" w:styleId="ListNumber2Level4">
    <w:name w:val="List Number 2 (Level 4)"/>
    <w:basedOn w:val="Text2"/>
    <w:rsid w:val="005E7B2D"/>
    <w:pPr>
      <w:numPr>
        <w:ilvl w:val="3"/>
        <w:numId w:val="12"/>
      </w:numPr>
      <w:tabs>
        <w:tab w:val="clear" w:pos="2161"/>
        <w:tab w:val="num" w:pos="643"/>
        <w:tab w:val="num" w:pos="1485"/>
        <w:tab w:val="num" w:pos="4037"/>
      </w:tabs>
      <w:ind w:left="4037" w:hanging="709"/>
    </w:pPr>
  </w:style>
  <w:style w:type="character" w:styleId="Strong">
    <w:name w:val="Strong"/>
    <w:uiPriority w:val="22"/>
    <w:rsid w:val="005D1CFA"/>
    <w:rPr>
      <w:rFonts w:cs="Times New Roman"/>
      <w:b/>
    </w:rPr>
  </w:style>
  <w:style w:type="paragraph" w:styleId="Revision">
    <w:name w:val="Revision"/>
    <w:hidden/>
    <w:uiPriority w:val="99"/>
    <w:semiHidden/>
    <w:rsid w:val="005E7B2D"/>
    <w:rPr>
      <w:sz w:val="24"/>
      <w:lang w:eastAsia="en-US"/>
    </w:rPr>
  </w:style>
  <w:style w:type="paragraph" w:styleId="ListParagraph">
    <w:name w:val="List Paragraph"/>
    <w:basedOn w:val="Normal"/>
    <w:uiPriority w:val="34"/>
    <w:qFormat/>
    <w:rsid w:val="005E7B2D"/>
    <w:pPr>
      <w:ind w:left="708"/>
    </w:pPr>
  </w:style>
  <w:style w:type="paragraph" w:styleId="TOAHeading">
    <w:name w:val="toa heading"/>
    <w:basedOn w:val="Normal"/>
    <w:next w:val="Normal"/>
    <w:uiPriority w:val="99"/>
    <w:rsid w:val="005E7B2D"/>
    <w:rPr>
      <w:rFonts w:ascii="Cambria" w:hAnsi="Cambria"/>
      <w:b/>
      <w:bCs/>
      <w:szCs w:val="24"/>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Appel note de bas de page,16 Point,SUPERS,BV"/>
    <w:link w:val="Char2"/>
    <w:uiPriority w:val="99"/>
    <w:qFormat/>
    <w:locked/>
    <w:rsid w:val="004D357E"/>
    <w:rPr>
      <w:sz w:val="24"/>
      <w:vertAlign w:val="superscript"/>
    </w:rPr>
  </w:style>
  <w:style w:type="paragraph" w:styleId="BalloonText">
    <w:name w:val="Balloon Text"/>
    <w:basedOn w:val="Normal"/>
    <w:link w:val="BalloonTextChar"/>
    <w:uiPriority w:val="99"/>
    <w:rsid w:val="005E7B2D"/>
    <w:pPr>
      <w:spacing w:after="0"/>
    </w:pPr>
    <w:rPr>
      <w:rFonts w:ascii="Tahoma" w:hAnsi="Tahoma" w:cs="Tahoma"/>
      <w:sz w:val="16"/>
      <w:szCs w:val="16"/>
    </w:rPr>
  </w:style>
  <w:style w:type="character" w:customStyle="1" w:styleId="BalloonTextChar">
    <w:name w:val="Balloon Text Char"/>
    <w:link w:val="BalloonText"/>
    <w:uiPriority w:val="99"/>
    <w:locked/>
    <w:rsid w:val="00AF32BC"/>
    <w:rPr>
      <w:rFonts w:ascii="Tahoma" w:hAnsi="Tahoma" w:cs="Tahoma"/>
      <w:sz w:val="16"/>
      <w:szCs w:val="16"/>
      <w:lang w:eastAsia="en-US"/>
    </w:rPr>
  </w:style>
  <w:style w:type="character" w:styleId="CommentReference">
    <w:name w:val="annotation reference"/>
    <w:uiPriority w:val="99"/>
    <w:rsid w:val="00A6227D"/>
    <w:rPr>
      <w:rFonts w:cs="Times New Roman"/>
      <w:sz w:val="16"/>
    </w:rPr>
  </w:style>
  <w:style w:type="paragraph" w:customStyle="1" w:styleId="Default">
    <w:name w:val="Default"/>
    <w:rsid w:val="005E7B2D"/>
    <w:pPr>
      <w:autoSpaceDE w:val="0"/>
      <w:autoSpaceDN w:val="0"/>
      <w:adjustRightInd w:val="0"/>
    </w:pPr>
    <w:rPr>
      <w:color w:val="000000"/>
      <w:sz w:val="24"/>
      <w:szCs w:val="24"/>
    </w:rPr>
  </w:style>
  <w:style w:type="paragraph" w:customStyle="1" w:styleId="Char2">
    <w:name w:val="Char2"/>
    <w:basedOn w:val="Normal"/>
    <w:link w:val="FootnoteReference"/>
    <w:uiPriority w:val="99"/>
    <w:rsid w:val="005E7B2D"/>
    <w:pPr>
      <w:spacing w:after="160" w:line="240" w:lineRule="exact"/>
      <w:jc w:val="left"/>
    </w:pPr>
    <w:rPr>
      <w:sz w:val="24"/>
      <w:vertAlign w:val="superscript"/>
      <w:lang w:eastAsia="en-GB"/>
    </w:rPr>
  </w:style>
  <w:style w:type="paragraph" w:customStyle="1" w:styleId="Guidelines31">
    <w:name w:val="Guidelines 31"/>
    <w:basedOn w:val="Normal"/>
    <w:next w:val="Normal"/>
    <w:autoRedefine/>
    <w:qFormat/>
    <w:rsid w:val="005E7B2D"/>
    <w:pPr>
      <w:pBdr>
        <w:top w:val="single" w:sz="4" w:space="1" w:color="auto"/>
        <w:left w:val="single" w:sz="4" w:space="4" w:color="auto"/>
        <w:bottom w:val="single" w:sz="4" w:space="1" w:color="auto"/>
        <w:right w:val="single" w:sz="4" w:space="4" w:color="auto"/>
      </w:pBdr>
      <w:tabs>
        <w:tab w:val="num" w:pos="283"/>
        <w:tab w:val="num" w:pos="567"/>
        <w:tab w:val="left" w:pos="900"/>
      </w:tabs>
      <w:spacing w:after="40"/>
      <w:ind w:left="851" w:hanging="851"/>
      <w:jc w:val="left"/>
    </w:pPr>
    <w:rPr>
      <w:b/>
      <w:i/>
      <w:sz w:val="24"/>
    </w:rPr>
  </w:style>
  <w:style w:type="character" w:customStyle="1" w:styleId="En-tte6">
    <w:name w:val="En-tête #6_"/>
    <w:link w:val="En-tte60"/>
    <w:locked/>
    <w:rsid w:val="00416503"/>
    <w:rPr>
      <w:shd w:val="clear" w:color="auto" w:fill="FFFFFF"/>
    </w:rPr>
  </w:style>
  <w:style w:type="character" w:customStyle="1" w:styleId="Corpsdutexte">
    <w:name w:val="Corps du texte_"/>
    <w:link w:val="Corpsdutexte0"/>
    <w:locked/>
    <w:rsid w:val="00416503"/>
    <w:rPr>
      <w:shd w:val="clear" w:color="auto" w:fill="FFFFFF"/>
    </w:rPr>
  </w:style>
  <w:style w:type="character" w:customStyle="1" w:styleId="CorpsdutexteGras">
    <w:name w:val="Corps du texte + Gras"/>
    <w:rsid w:val="00416503"/>
    <w:rPr>
      <w:rFonts w:ascii="Times New Roman" w:hAnsi="Times New Roman" w:cs="Times New Roman"/>
      <w:b/>
      <w:bCs/>
      <w:color w:val="000000"/>
      <w:spacing w:val="0"/>
      <w:w w:val="100"/>
      <w:position w:val="0"/>
      <w:shd w:val="clear" w:color="auto" w:fill="FFFFFF"/>
      <w:lang w:val="en-US" w:eastAsia="x-none"/>
    </w:rPr>
  </w:style>
  <w:style w:type="paragraph" w:customStyle="1" w:styleId="En-tte60">
    <w:name w:val="En-tête #6"/>
    <w:basedOn w:val="Normal"/>
    <w:link w:val="En-tte6"/>
    <w:rsid w:val="005E7B2D"/>
    <w:pPr>
      <w:widowControl w:val="0"/>
      <w:shd w:val="clear" w:color="auto" w:fill="FFFFFF"/>
      <w:spacing w:before="240" w:after="300" w:line="240" w:lineRule="atLeast"/>
      <w:ind w:hanging="380"/>
      <w:jc w:val="center"/>
      <w:outlineLvl w:val="5"/>
    </w:pPr>
    <w:rPr>
      <w:sz w:val="20"/>
      <w:lang w:eastAsia="en-GB"/>
    </w:rPr>
  </w:style>
  <w:style w:type="paragraph" w:customStyle="1" w:styleId="Corpsdutexte0">
    <w:name w:val="Corps du texte"/>
    <w:basedOn w:val="Normal"/>
    <w:link w:val="Corpsdutexte"/>
    <w:rsid w:val="005E7B2D"/>
    <w:pPr>
      <w:widowControl w:val="0"/>
      <w:shd w:val="clear" w:color="auto" w:fill="FFFFFF"/>
      <w:spacing w:before="300" w:after="240" w:line="254" w:lineRule="exact"/>
      <w:ind w:hanging="1280"/>
    </w:pPr>
    <w:rPr>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05626">
      <w:marLeft w:val="0"/>
      <w:marRight w:val="0"/>
      <w:marTop w:val="0"/>
      <w:marBottom w:val="0"/>
      <w:divBdr>
        <w:top w:val="none" w:sz="0" w:space="0" w:color="auto"/>
        <w:left w:val="none" w:sz="0" w:space="0" w:color="auto"/>
        <w:bottom w:val="none" w:sz="0" w:space="0" w:color="auto"/>
        <w:right w:val="none" w:sz="0" w:space="0" w:color="auto"/>
      </w:divBdr>
    </w:div>
    <w:div w:id="465705627">
      <w:marLeft w:val="0"/>
      <w:marRight w:val="0"/>
      <w:marTop w:val="0"/>
      <w:marBottom w:val="0"/>
      <w:divBdr>
        <w:top w:val="none" w:sz="0" w:space="0" w:color="auto"/>
        <w:left w:val="none" w:sz="0" w:space="0" w:color="auto"/>
        <w:bottom w:val="none" w:sz="0" w:space="0" w:color="auto"/>
        <w:right w:val="none" w:sz="0" w:space="0" w:color="auto"/>
      </w:divBdr>
    </w:div>
    <w:div w:id="465705628">
      <w:marLeft w:val="0"/>
      <w:marRight w:val="0"/>
      <w:marTop w:val="0"/>
      <w:marBottom w:val="0"/>
      <w:divBdr>
        <w:top w:val="none" w:sz="0" w:space="0" w:color="auto"/>
        <w:left w:val="none" w:sz="0" w:space="0" w:color="auto"/>
        <w:bottom w:val="none" w:sz="0" w:space="0" w:color="auto"/>
        <w:right w:val="none" w:sz="0" w:space="0" w:color="auto"/>
      </w:divBdr>
    </w:div>
    <w:div w:id="465705629">
      <w:marLeft w:val="0"/>
      <w:marRight w:val="0"/>
      <w:marTop w:val="0"/>
      <w:marBottom w:val="0"/>
      <w:divBdr>
        <w:top w:val="none" w:sz="0" w:space="0" w:color="auto"/>
        <w:left w:val="none" w:sz="0" w:space="0" w:color="auto"/>
        <w:bottom w:val="none" w:sz="0" w:space="0" w:color="auto"/>
        <w:right w:val="none" w:sz="0" w:space="0" w:color="auto"/>
      </w:divBdr>
    </w:div>
    <w:div w:id="465705630">
      <w:marLeft w:val="0"/>
      <w:marRight w:val="0"/>
      <w:marTop w:val="0"/>
      <w:marBottom w:val="0"/>
      <w:divBdr>
        <w:top w:val="none" w:sz="0" w:space="0" w:color="auto"/>
        <w:left w:val="none" w:sz="0" w:space="0" w:color="auto"/>
        <w:bottom w:val="none" w:sz="0" w:space="0" w:color="auto"/>
        <w:right w:val="none" w:sz="0" w:space="0" w:color="auto"/>
      </w:divBdr>
    </w:div>
    <w:div w:id="465705631">
      <w:marLeft w:val="0"/>
      <w:marRight w:val="0"/>
      <w:marTop w:val="0"/>
      <w:marBottom w:val="0"/>
      <w:divBdr>
        <w:top w:val="none" w:sz="0" w:space="0" w:color="auto"/>
        <w:left w:val="none" w:sz="0" w:space="0" w:color="auto"/>
        <w:bottom w:val="none" w:sz="0" w:space="0" w:color="auto"/>
        <w:right w:val="none" w:sz="0" w:space="0" w:color="auto"/>
      </w:divBdr>
    </w:div>
    <w:div w:id="465705632">
      <w:marLeft w:val="0"/>
      <w:marRight w:val="0"/>
      <w:marTop w:val="0"/>
      <w:marBottom w:val="0"/>
      <w:divBdr>
        <w:top w:val="none" w:sz="0" w:space="0" w:color="auto"/>
        <w:left w:val="none" w:sz="0" w:space="0" w:color="auto"/>
        <w:bottom w:val="none" w:sz="0" w:space="0" w:color="auto"/>
        <w:right w:val="none" w:sz="0" w:space="0" w:color="auto"/>
      </w:divBdr>
    </w:div>
    <w:div w:id="465705633">
      <w:marLeft w:val="0"/>
      <w:marRight w:val="0"/>
      <w:marTop w:val="0"/>
      <w:marBottom w:val="0"/>
      <w:divBdr>
        <w:top w:val="none" w:sz="0" w:space="0" w:color="auto"/>
        <w:left w:val="none" w:sz="0" w:space="0" w:color="auto"/>
        <w:bottom w:val="none" w:sz="0" w:space="0" w:color="auto"/>
        <w:right w:val="none" w:sz="0" w:space="0" w:color="auto"/>
      </w:divBdr>
    </w:div>
    <w:div w:id="465705634">
      <w:marLeft w:val="0"/>
      <w:marRight w:val="0"/>
      <w:marTop w:val="0"/>
      <w:marBottom w:val="0"/>
      <w:divBdr>
        <w:top w:val="none" w:sz="0" w:space="0" w:color="auto"/>
        <w:left w:val="none" w:sz="0" w:space="0" w:color="auto"/>
        <w:bottom w:val="none" w:sz="0" w:space="0" w:color="auto"/>
        <w:right w:val="none" w:sz="0" w:space="0" w:color="auto"/>
      </w:divBdr>
    </w:div>
    <w:div w:id="465705635">
      <w:marLeft w:val="0"/>
      <w:marRight w:val="0"/>
      <w:marTop w:val="0"/>
      <w:marBottom w:val="0"/>
      <w:divBdr>
        <w:top w:val="none" w:sz="0" w:space="0" w:color="auto"/>
        <w:left w:val="none" w:sz="0" w:space="0" w:color="auto"/>
        <w:bottom w:val="none" w:sz="0" w:space="0" w:color="auto"/>
        <w:right w:val="none" w:sz="0" w:space="0" w:color="auto"/>
      </w:divBdr>
    </w:div>
    <w:div w:id="465705636">
      <w:marLeft w:val="0"/>
      <w:marRight w:val="0"/>
      <w:marTop w:val="0"/>
      <w:marBottom w:val="0"/>
      <w:divBdr>
        <w:top w:val="none" w:sz="0" w:space="0" w:color="auto"/>
        <w:left w:val="none" w:sz="0" w:space="0" w:color="auto"/>
        <w:bottom w:val="none" w:sz="0" w:space="0" w:color="auto"/>
        <w:right w:val="none" w:sz="0" w:space="0" w:color="auto"/>
      </w:divBdr>
    </w:div>
    <w:div w:id="465705637">
      <w:marLeft w:val="0"/>
      <w:marRight w:val="0"/>
      <w:marTop w:val="0"/>
      <w:marBottom w:val="0"/>
      <w:divBdr>
        <w:top w:val="none" w:sz="0" w:space="0" w:color="auto"/>
        <w:left w:val="none" w:sz="0" w:space="0" w:color="auto"/>
        <w:bottom w:val="none" w:sz="0" w:space="0" w:color="auto"/>
        <w:right w:val="none" w:sz="0" w:space="0" w:color="auto"/>
      </w:divBdr>
    </w:div>
    <w:div w:id="465705638">
      <w:marLeft w:val="0"/>
      <w:marRight w:val="0"/>
      <w:marTop w:val="0"/>
      <w:marBottom w:val="0"/>
      <w:divBdr>
        <w:top w:val="none" w:sz="0" w:space="0" w:color="auto"/>
        <w:left w:val="none" w:sz="0" w:space="0" w:color="auto"/>
        <w:bottom w:val="none" w:sz="0" w:space="0" w:color="auto"/>
        <w:right w:val="none" w:sz="0" w:space="0" w:color="auto"/>
      </w:divBdr>
    </w:div>
    <w:div w:id="465705639">
      <w:marLeft w:val="0"/>
      <w:marRight w:val="0"/>
      <w:marTop w:val="0"/>
      <w:marBottom w:val="0"/>
      <w:divBdr>
        <w:top w:val="none" w:sz="0" w:space="0" w:color="auto"/>
        <w:left w:val="none" w:sz="0" w:space="0" w:color="auto"/>
        <w:bottom w:val="none" w:sz="0" w:space="0" w:color="auto"/>
        <w:right w:val="none" w:sz="0" w:space="0" w:color="auto"/>
      </w:divBdr>
    </w:div>
    <w:div w:id="465705640">
      <w:marLeft w:val="0"/>
      <w:marRight w:val="0"/>
      <w:marTop w:val="0"/>
      <w:marBottom w:val="0"/>
      <w:divBdr>
        <w:top w:val="none" w:sz="0" w:space="0" w:color="auto"/>
        <w:left w:val="none" w:sz="0" w:space="0" w:color="auto"/>
        <w:bottom w:val="none" w:sz="0" w:space="0" w:color="auto"/>
        <w:right w:val="none" w:sz="0" w:space="0" w:color="auto"/>
      </w:divBdr>
    </w:div>
    <w:div w:id="465705641">
      <w:marLeft w:val="0"/>
      <w:marRight w:val="0"/>
      <w:marTop w:val="0"/>
      <w:marBottom w:val="0"/>
      <w:divBdr>
        <w:top w:val="none" w:sz="0" w:space="0" w:color="auto"/>
        <w:left w:val="none" w:sz="0" w:space="0" w:color="auto"/>
        <w:bottom w:val="none" w:sz="0" w:space="0" w:color="auto"/>
        <w:right w:val="none" w:sz="0" w:space="0" w:color="auto"/>
      </w:divBdr>
    </w:div>
    <w:div w:id="465705642">
      <w:marLeft w:val="0"/>
      <w:marRight w:val="0"/>
      <w:marTop w:val="0"/>
      <w:marBottom w:val="0"/>
      <w:divBdr>
        <w:top w:val="none" w:sz="0" w:space="0" w:color="auto"/>
        <w:left w:val="none" w:sz="0" w:space="0" w:color="auto"/>
        <w:bottom w:val="none" w:sz="0" w:space="0" w:color="auto"/>
        <w:right w:val="none" w:sz="0" w:space="0" w:color="auto"/>
      </w:divBdr>
    </w:div>
    <w:div w:id="465705643">
      <w:marLeft w:val="0"/>
      <w:marRight w:val="0"/>
      <w:marTop w:val="0"/>
      <w:marBottom w:val="0"/>
      <w:divBdr>
        <w:top w:val="none" w:sz="0" w:space="0" w:color="auto"/>
        <w:left w:val="none" w:sz="0" w:space="0" w:color="auto"/>
        <w:bottom w:val="none" w:sz="0" w:space="0" w:color="auto"/>
        <w:right w:val="none" w:sz="0" w:space="0" w:color="auto"/>
      </w:divBdr>
    </w:div>
    <w:div w:id="465705644">
      <w:marLeft w:val="0"/>
      <w:marRight w:val="0"/>
      <w:marTop w:val="0"/>
      <w:marBottom w:val="0"/>
      <w:divBdr>
        <w:top w:val="none" w:sz="0" w:space="0" w:color="auto"/>
        <w:left w:val="none" w:sz="0" w:space="0" w:color="auto"/>
        <w:bottom w:val="none" w:sz="0" w:space="0" w:color="auto"/>
        <w:right w:val="none" w:sz="0" w:space="0" w:color="auto"/>
      </w:divBdr>
    </w:div>
    <w:div w:id="465705645">
      <w:marLeft w:val="0"/>
      <w:marRight w:val="0"/>
      <w:marTop w:val="0"/>
      <w:marBottom w:val="0"/>
      <w:divBdr>
        <w:top w:val="none" w:sz="0" w:space="0" w:color="auto"/>
        <w:left w:val="none" w:sz="0" w:space="0" w:color="auto"/>
        <w:bottom w:val="none" w:sz="0" w:space="0" w:color="auto"/>
        <w:right w:val="none" w:sz="0" w:space="0" w:color="auto"/>
      </w:divBdr>
    </w:div>
    <w:div w:id="465705646">
      <w:marLeft w:val="0"/>
      <w:marRight w:val="0"/>
      <w:marTop w:val="0"/>
      <w:marBottom w:val="0"/>
      <w:divBdr>
        <w:top w:val="none" w:sz="0" w:space="0" w:color="auto"/>
        <w:left w:val="none" w:sz="0" w:space="0" w:color="auto"/>
        <w:bottom w:val="none" w:sz="0" w:space="0" w:color="auto"/>
        <w:right w:val="none" w:sz="0" w:space="0" w:color="auto"/>
      </w:divBdr>
    </w:div>
    <w:div w:id="465705647">
      <w:marLeft w:val="0"/>
      <w:marRight w:val="0"/>
      <w:marTop w:val="0"/>
      <w:marBottom w:val="0"/>
      <w:divBdr>
        <w:top w:val="none" w:sz="0" w:space="0" w:color="auto"/>
        <w:left w:val="none" w:sz="0" w:space="0" w:color="auto"/>
        <w:bottom w:val="none" w:sz="0" w:space="0" w:color="auto"/>
        <w:right w:val="none" w:sz="0" w:space="0" w:color="auto"/>
      </w:divBdr>
    </w:div>
    <w:div w:id="465705648">
      <w:marLeft w:val="0"/>
      <w:marRight w:val="0"/>
      <w:marTop w:val="0"/>
      <w:marBottom w:val="0"/>
      <w:divBdr>
        <w:top w:val="none" w:sz="0" w:space="0" w:color="auto"/>
        <w:left w:val="none" w:sz="0" w:space="0" w:color="auto"/>
        <w:bottom w:val="none" w:sz="0" w:space="0" w:color="auto"/>
        <w:right w:val="none" w:sz="0" w:space="0" w:color="auto"/>
      </w:divBdr>
    </w:div>
    <w:div w:id="465705649">
      <w:marLeft w:val="0"/>
      <w:marRight w:val="0"/>
      <w:marTop w:val="0"/>
      <w:marBottom w:val="0"/>
      <w:divBdr>
        <w:top w:val="none" w:sz="0" w:space="0" w:color="auto"/>
        <w:left w:val="none" w:sz="0" w:space="0" w:color="auto"/>
        <w:bottom w:val="none" w:sz="0" w:space="0" w:color="auto"/>
        <w:right w:val="none" w:sz="0" w:space="0" w:color="auto"/>
      </w:divBdr>
    </w:div>
    <w:div w:id="556820689">
      <w:marLeft w:val="0"/>
      <w:marRight w:val="0"/>
      <w:marTop w:val="0"/>
      <w:marBottom w:val="0"/>
      <w:divBdr>
        <w:top w:val="none" w:sz="0" w:space="0" w:color="auto"/>
        <w:left w:val="none" w:sz="0" w:space="0" w:color="auto"/>
        <w:bottom w:val="none" w:sz="0" w:space="0" w:color="auto"/>
        <w:right w:val="none" w:sz="0" w:space="0" w:color="auto"/>
      </w:divBdr>
    </w:div>
    <w:div w:id="556820690">
      <w:marLeft w:val="0"/>
      <w:marRight w:val="0"/>
      <w:marTop w:val="0"/>
      <w:marBottom w:val="0"/>
      <w:divBdr>
        <w:top w:val="none" w:sz="0" w:space="0" w:color="auto"/>
        <w:left w:val="none" w:sz="0" w:space="0" w:color="auto"/>
        <w:bottom w:val="none" w:sz="0" w:space="0" w:color="auto"/>
        <w:right w:val="none" w:sz="0" w:space="0" w:color="auto"/>
      </w:divBdr>
    </w:div>
    <w:div w:id="556820691">
      <w:marLeft w:val="0"/>
      <w:marRight w:val="0"/>
      <w:marTop w:val="0"/>
      <w:marBottom w:val="0"/>
      <w:divBdr>
        <w:top w:val="none" w:sz="0" w:space="0" w:color="auto"/>
        <w:left w:val="none" w:sz="0" w:space="0" w:color="auto"/>
        <w:bottom w:val="none" w:sz="0" w:space="0" w:color="auto"/>
        <w:right w:val="none" w:sz="0" w:space="0" w:color="auto"/>
      </w:divBdr>
    </w:div>
    <w:div w:id="556820692">
      <w:marLeft w:val="0"/>
      <w:marRight w:val="0"/>
      <w:marTop w:val="0"/>
      <w:marBottom w:val="0"/>
      <w:divBdr>
        <w:top w:val="none" w:sz="0" w:space="0" w:color="auto"/>
        <w:left w:val="none" w:sz="0" w:space="0" w:color="auto"/>
        <w:bottom w:val="none" w:sz="0" w:space="0" w:color="auto"/>
        <w:right w:val="none" w:sz="0" w:space="0" w:color="auto"/>
      </w:divBdr>
    </w:div>
    <w:div w:id="556820693">
      <w:marLeft w:val="0"/>
      <w:marRight w:val="0"/>
      <w:marTop w:val="0"/>
      <w:marBottom w:val="0"/>
      <w:divBdr>
        <w:top w:val="none" w:sz="0" w:space="0" w:color="auto"/>
        <w:left w:val="none" w:sz="0" w:space="0" w:color="auto"/>
        <w:bottom w:val="none" w:sz="0" w:space="0" w:color="auto"/>
        <w:right w:val="none" w:sz="0" w:space="0" w:color="auto"/>
      </w:divBdr>
    </w:div>
    <w:div w:id="556820694">
      <w:marLeft w:val="0"/>
      <w:marRight w:val="0"/>
      <w:marTop w:val="0"/>
      <w:marBottom w:val="0"/>
      <w:divBdr>
        <w:top w:val="none" w:sz="0" w:space="0" w:color="auto"/>
        <w:left w:val="none" w:sz="0" w:space="0" w:color="auto"/>
        <w:bottom w:val="none" w:sz="0" w:space="0" w:color="auto"/>
        <w:right w:val="none" w:sz="0" w:space="0" w:color="auto"/>
      </w:divBdr>
    </w:div>
    <w:div w:id="556820695">
      <w:marLeft w:val="0"/>
      <w:marRight w:val="0"/>
      <w:marTop w:val="0"/>
      <w:marBottom w:val="0"/>
      <w:divBdr>
        <w:top w:val="none" w:sz="0" w:space="0" w:color="auto"/>
        <w:left w:val="none" w:sz="0" w:space="0" w:color="auto"/>
        <w:bottom w:val="none" w:sz="0" w:space="0" w:color="auto"/>
        <w:right w:val="none" w:sz="0" w:space="0" w:color="auto"/>
      </w:divBdr>
    </w:div>
    <w:div w:id="556820696">
      <w:marLeft w:val="0"/>
      <w:marRight w:val="0"/>
      <w:marTop w:val="0"/>
      <w:marBottom w:val="0"/>
      <w:divBdr>
        <w:top w:val="none" w:sz="0" w:space="0" w:color="auto"/>
        <w:left w:val="none" w:sz="0" w:space="0" w:color="auto"/>
        <w:bottom w:val="none" w:sz="0" w:space="0" w:color="auto"/>
        <w:right w:val="none" w:sz="0" w:space="0" w:color="auto"/>
      </w:divBdr>
    </w:div>
    <w:div w:id="556820697">
      <w:marLeft w:val="0"/>
      <w:marRight w:val="0"/>
      <w:marTop w:val="0"/>
      <w:marBottom w:val="0"/>
      <w:divBdr>
        <w:top w:val="none" w:sz="0" w:space="0" w:color="auto"/>
        <w:left w:val="none" w:sz="0" w:space="0" w:color="auto"/>
        <w:bottom w:val="none" w:sz="0" w:space="0" w:color="auto"/>
        <w:right w:val="none" w:sz="0" w:space="0" w:color="auto"/>
      </w:divBdr>
    </w:div>
    <w:div w:id="556820698">
      <w:marLeft w:val="0"/>
      <w:marRight w:val="0"/>
      <w:marTop w:val="0"/>
      <w:marBottom w:val="0"/>
      <w:divBdr>
        <w:top w:val="none" w:sz="0" w:space="0" w:color="auto"/>
        <w:left w:val="none" w:sz="0" w:space="0" w:color="auto"/>
        <w:bottom w:val="none" w:sz="0" w:space="0" w:color="auto"/>
        <w:right w:val="none" w:sz="0" w:space="0" w:color="auto"/>
      </w:divBdr>
    </w:div>
    <w:div w:id="556820699">
      <w:marLeft w:val="0"/>
      <w:marRight w:val="0"/>
      <w:marTop w:val="0"/>
      <w:marBottom w:val="0"/>
      <w:divBdr>
        <w:top w:val="none" w:sz="0" w:space="0" w:color="auto"/>
        <w:left w:val="none" w:sz="0" w:space="0" w:color="auto"/>
        <w:bottom w:val="none" w:sz="0" w:space="0" w:color="auto"/>
        <w:right w:val="none" w:sz="0" w:space="0" w:color="auto"/>
      </w:divBdr>
    </w:div>
    <w:div w:id="556820700">
      <w:marLeft w:val="0"/>
      <w:marRight w:val="0"/>
      <w:marTop w:val="0"/>
      <w:marBottom w:val="0"/>
      <w:divBdr>
        <w:top w:val="none" w:sz="0" w:space="0" w:color="auto"/>
        <w:left w:val="none" w:sz="0" w:space="0" w:color="auto"/>
        <w:bottom w:val="none" w:sz="0" w:space="0" w:color="auto"/>
        <w:right w:val="none" w:sz="0" w:space="0" w:color="auto"/>
      </w:divBdr>
    </w:div>
    <w:div w:id="556820701">
      <w:marLeft w:val="0"/>
      <w:marRight w:val="0"/>
      <w:marTop w:val="0"/>
      <w:marBottom w:val="0"/>
      <w:divBdr>
        <w:top w:val="none" w:sz="0" w:space="0" w:color="auto"/>
        <w:left w:val="none" w:sz="0" w:space="0" w:color="auto"/>
        <w:bottom w:val="none" w:sz="0" w:space="0" w:color="auto"/>
        <w:right w:val="none" w:sz="0" w:space="0" w:color="auto"/>
      </w:divBdr>
    </w:div>
    <w:div w:id="556820702">
      <w:marLeft w:val="0"/>
      <w:marRight w:val="0"/>
      <w:marTop w:val="0"/>
      <w:marBottom w:val="0"/>
      <w:divBdr>
        <w:top w:val="none" w:sz="0" w:space="0" w:color="auto"/>
        <w:left w:val="none" w:sz="0" w:space="0" w:color="auto"/>
        <w:bottom w:val="none" w:sz="0" w:space="0" w:color="auto"/>
        <w:right w:val="none" w:sz="0" w:space="0" w:color="auto"/>
      </w:divBdr>
    </w:div>
    <w:div w:id="556820703">
      <w:marLeft w:val="0"/>
      <w:marRight w:val="0"/>
      <w:marTop w:val="0"/>
      <w:marBottom w:val="0"/>
      <w:divBdr>
        <w:top w:val="none" w:sz="0" w:space="0" w:color="auto"/>
        <w:left w:val="none" w:sz="0" w:space="0" w:color="auto"/>
        <w:bottom w:val="none" w:sz="0" w:space="0" w:color="auto"/>
        <w:right w:val="none" w:sz="0" w:space="0" w:color="auto"/>
      </w:divBdr>
    </w:div>
    <w:div w:id="556820704">
      <w:marLeft w:val="0"/>
      <w:marRight w:val="0"/>
      <w:marTop w:val="0"/>
      <w:marBottom w:val="0"/>
      <w:divBdr>
        <w:top w:val="none" w:sz="0" w:space="0" w:color="auto"/>
        <w:left w:val="none" w:sz="0" w:space="0" w:color="auto"/>
        <w:bottom w:val="none" w:sz="0" w:space="0" w:color="auto"/>
        <w:right w:val="none" w:sz="0" w:space="0" w:color="auto"/>
      </w:divBdr>
    </w:div>
    <w:div w:id="556820705">
      <w:marLeft w:val="0"/>
      <w:marRight w:val="0"/>
      <w:marTop w:val="0"/>
      <w:marBottom w:val="0"/>
      <w:divBdr>
        <w:top w:val="none" w:sz="0" w:space="0" w:color="auto"/>
        <w:left w:val="none" w:sz="0" w:space="0" w:color="auto"/>
        <w:bottom w:val="none" w:sz="0" w:space="0" w:color="auto"/>
        <w:right w:val="none" w:sz="0" w:space="0" w:color="auto"/>
      </w:divBdr>
    </w:div>
    <w:div w:id="556820706">
      <w:marLeft w:val="0"/>
      <w:marRight w:val="0"/>
      <w:marTop w:val="0"/>
      <w:marBottom w:val="0"/>
      <w:divBdr>
        <w:top w:val="none" w:sz="0" w:space="0" w:color="auto"/>
        <w:left w:val="none" w:sz="0" w:space="0" w:color="auto"/>
        <w:bottom w:val="none" w:sz="0" w:space="0" w:color="auto"/>
        <w:right w:val="none" w:sz="0" w:space="0" w:color="auto"/>
      </w:divBdr>
    </w:div>
    <w:div w:id="556820707">
      <w:marLeft w:val="0"/>
      <w:marRight w:val="0"/>
      <w:marTop w:val="0"/>
      <w:marBottom w:val="0"/>
      <w:divBdr>
        <w:top w:val="none" w:sz="0" w:space="0" w:color="auto"/>
        <w:left w:val="none" w:sz="0" w:space="0" w:color="auto"/>
        <w:bottom w:val="none" w:sz="0" w:space="0" w:color="auto"/>
        <w:right w:val="none" w:sz="0" w:space="0" w:color="auto"/>
      </w:divBdr>
    </w:div>
    <w:div w:id="556820708">
      <w:marLeft w:val="0"/>
      <w:marRight w:val="0"/>
      <w:marTop w:val="0"/>
      <w:marBottom w:val="0"/>
      <w:divBdr>
        <w:top w:val="none" w:sz="0" w:space="0" w:color="auto"/>
        <w:left w:val="none" w:sz="0" w:space="0" w:color="auto"/>
        <w:bottom w:val="none" w:sz="0" w:space="0" w:color="auto"/>
        <w:right w:val="none" w:sz="0" w:space="0" w:color="auto"/>
      </w:divBdr>
    </w:div>
    <w:div w:id="556820709">
      <w:marLeft w:val="0"/>
      <w:marRight w:val="0"/>
      <w:marTop w:val="0"/>
      <w:marBottom w:val="0"/>
      <w:divBdr>
        <w:top w:val="none" w:sz="0" w:space="0" w:color="auto"/>
        <w:left w:val="none" w:sz="0" w:space="0" w:color="auto"/>
        <w:bottom w:val="none" w:sz="0" w:space="0" w:color="auto"/>
        <w:right w:val="none" w:sz="0" w:space="0" w:color="auto"/>
      </w:divBdr>
    </w:div>
    <w:div w:id="556820710">
      <w:marLeft w:val="0"/>
      <w:marRight w:val="0"/>
      <w:marTop w:val="0"/>
      <w:marBottom w:val="0"/>
      <w:divBdr>
        <w:top w:val="none" w:sz="0" w:space="0" w:color="auto"/>
        <w:left w:val="none" w:sz="0" w:space="0" w:color="auto"/>
        <w:bottom w:val="none" w:sz="0" w:space="0" w:color="auto"/>
        <w:right w:val="none" w:sz="0" w:space="0" w:color="auto"/>
      </w:divBdr>
    </w:div>
    <w:div w:id="556820711">
      <w:marLeft w:val="0"/>
      <w:marRight w:val="0"/>
      <w:marTop w:val="0"/>
      <w:marBottom w:val="0"/>
      <w:divBdr>
        <w:top w:val="none" w:sz="0" w:space="0" w:color="auto"/>
        <w:left w:val="none" w:sz="0" w:space="0" w:color="auto"/>
        <w:bottom w:val="none" w:sz="0" w:space="0" w:color="auto"/>
        <w:right w:val="none" w:sz="0" w:space="0" w:color="auto"/>
      </w:divBdr>
    </w:div>
    <w:div w:id="556820712">
      <w:marLeft w:val="0"/>
      <w:marRight w:val="0"/>
      <w:marTop w:val="0"/>
      <w:marBottom w:val="0"/>
      <w:divBdr>
        <w:top w:val="none" w:sz="0" w:space="0" w:color="auto"/>
        <w:left w:val="none" w:sz="0" w:space="0" w:color="auto"/>
        <w:bottom w:val="none" w:sz="0" w:space="0" w:color="auto"/>
        <w:right w:val="none" w:sz="0" w:space="0" w:color="auto"/>
      </w:divBdr>
    </w:div>
    <w:div w:id="1425687032">
      <w:bodyDiv w:val="1"/>
      <w:marLeft w:val="0"/>
      <w:marRight w:val="0"/>
      <w:marTop w:val="0"/>
      <w:marBottom w:val="0"/>
      <w:divBdr>
        <w:top w:val="none" w:sz="0" w:space="0" w:color="auto"/>
        <w:left w:val="none" w:sz="0" w:space="0" w:color="auto"/>
        <w:bottom w:val="none" w:sz="0" w:space="0" w:color="auto"/>
        <w:right w:val="none" w:sz="0" w:space="0" w:color="auto"/>
      </w:divBdr>
    </w:div>
    <w:div w:id="15333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europeaid/informal-exchange-brussels-based-civil-society-platforms-2017-eidhr-global-call-proposals_en" TargetMode="External"/><Relationship Id="rId18" Type="http://schemas.openxmlformats.org/officeDocument/2006/relationships/hyperlink" Target="http://hrbaportal.org/faq" TargetMode="External"/><Relationship Id="rId26" Type="http://schemas.openxmlformats.org/officeDocument/2006/relationships/hyperlink" Target="mailto:EuropeAid-IT-support@ec.europa.e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c.europa.eu/europeaid/communication-and-visibility-manual-eu-external-actions_en" TargetMode="External"/><Relationship Id="rId34" Type="http://schemas.openxmlformats.org/officeDocument/2006/relationships/hyperlink" Target="https://webgate.ec.europa.eu/fpfis/wikis/display/devcoiskb/PROSPECT+-+Applicants%27+User+Manua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hrbaportal.org/the-human-rights-based-approach-to-development-cooperation-towards-a-common-understanding-among-un-agencies" TargetMode="External"/><Relationship Id="rId25" Type="http://schemas.openxmlformats.org/officeDocument/2006/relationships/hyperlink" Target="https://webgate.ec.europa.eu/europeaid/online-services/index.cfm?do=publi.welcome" TargetMode="External"/><Relationship Id="rId33" Type="http://schemas.openxmlformats.org/officeDocument/2006/relationships/hyperlink" Target="https://circabc.europa.eu/d/a/workspace/SpacesStore/9ffda21c-44d2-43c2-aa8c-4800ef01d468/EL_PROSPECT_APPLICANTS_EN.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ilium.europa.eu/uedocs/cms_data/docs/pressdata/en/foraff/142682.pdf" TargetMode="External"/><Relationship Id="rId20" Type="http://schemas.openxmlformats.org/officeDocument/2006/relationships/hyperlink" Target="http://www.ohchr.org/EN/HRBodies/CRPD/Pages/ConventionRightsPersonsWithDisabilities.aspx" TargetMode="External"/><Relationship Id="rId29" Type="http://schemas.openxmlformats.org/officeDocument/2006/relationships/hyperlink" Target="https://webgate.ec.europa.eu/europeaid/online-services/index.cfm?do=publi.welc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ebgate.ec.europa.eu/europeaid/prospect" TargetMode="External"/><Relationship Id="rId32" Type="http://schemas.openxmlformats.org/officeDocument/2006/relationships/hyperlink" Target="https://webgate.ec.europa.eu/europeaid/prospect/external/" TargetMode="External"/><Relationship Id="rId37" Type="http://schemas.openxmlformats.org/officeDocument/2006/relationships/hyperlink" Target="http://ec.europa.eu/europeaid/sites/devco/files/financial-management-toolkit-for-recipients-15112010_en.pdf" TargetMode="External"/><Relationship Id="rId5" Type="http://schemas.openxmlformats.org/officeDocument/2006/relationships/settings" Target="settings.xml"/><Relationship Id="rId15" Type="http://schemas.openxmlformats.org/officeDocument/2006/relationships/hyperlink" Target="http://www.eidhr.eu/files/dmfile/SWD_2014_152_F1_STAFF_WORKING_PAPER_EN_V5_P1_768467.pdf" TargetMode="External"/><Relationship Id="rId23" Type="http://schemas.openxmlformats.org/officeDocument/2006/relationships/hyperlink" Target="mailto:EuropeAid-IT-support@ec.europa.eu" TargetMode="External"/><Relationship Id="rId28" Type="http://schemas.openxmlformats.org/officeDocument/2006/relationships/hyperlink" Target="https://webgate.ec.europa.eu/europeaid/online-services/index.cfm?do=publi.welcome" TargetMode="External"/><Relationship Id="rId36" Type="http://schemas.openxmlformats.org/officeDocument/2006/relationships/hyperlink" Target="http://ec.europa.eu/europeaid/companion/document.do?nodeNumber=19" TargetMode="External"/><Relationship Id="rId10" Type="http://schemas.openxmlformats.org/officeDocument/2006/relationships/header" Target="header1.xml"/><Relationship Id="rId19" Type="http://schemas.openxmlformats.org/officeDocument/2006/relationships/hyperlink" Target="http://ec.europa.eu/europeaid/prag/document.do?locale=en" TargetMode="External"/><Relationship Id="rId31" Type="http://schemas.openxmlformats.org/officeDocument/2006/relationships/hyperlink" Target="https://webgate.ec.europa.eu/europeaid/prospect/external/" TargetMode="External"/><Relationship Id="rId4" Type="http://schemas.microsoft.com/office/2007/relationships/stylesWithEffects" Target="stylesWithEffects.xml"/><Relationship Id="rId9" Type="http://schemas.openxmlformats.org/officeDocument/2006/relationships/hyperlink" Target="http://www.timeanddate.com/worldclock/converter.html" TargetMode="External"/><Relationship Id="rId14" Type="http://schemas.openxmlformats.org/officeDocument/2006/relationships/hyperlink" Target="https://www.consilium.europa.eu/uedocs/cms_data/docs/pressdata/EN/foraff/131181.pdf" TargetMode="External"/><Relationship Id="rId22" Type="http://schemas.openxmlformats.org/officeDocument/2006/relationships/hyperlink" Target="http://ec.europa.eu/europeaid/pador_en" TargetMode="External"/><Relationship Id="rId27" Type="http://schemas.openxmlformats.org/officeDocument/2006/relationships/hyperlink" Target="https://webgate.ec.europa.eu/europeaid/prospect" TargetMode="External"/><Relationship Id="rId30" Type="http://schemas.openxmlformats.org/officeDocument/2006/relationships/hyperlink" Target="http://ec.europa.eu/europeaid/funding/about-procurement-contracts/procedures-and-practical-guide-prag/diems_en" TargetMode="External"/><Relationship Id="rId35" Type="http://schemas.openxmlformats.org/officeDocument/2006/relationships/hyperlink" Target="http://ec.europa.eu/europeaid/multimedia/publications/publications/manuals-tools/t101_en.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eas.europa.eu/sites/eeas/files/eu_action_plan_on_human_rights_and_democracy_en_2.pdf" TargetMode="External"/><Relationship Id="rId3" Type="http://schemas.openxmlformats.org/officeDocument/2006/relationships/hyperlink" Target="http://www.un.org/ga/search/view_doc.asp?symbol=A/HRC/31/L.28" TargetMode="External"/><Relationship Id="rId7" Type="http://schemas.openxmlformats.org/officeDocument/2006/relationships/hyperlink" Target="http://tbinternet.ohchr.org/_layouts/treatybodyexternal/Download.aspx?symbolno=CCPR%2fC%2f21%2fRev.1%2fAdd.4&amp;Lang=en" TargetMode="External"/><Relationship Id="rId2" Type="http://schemas.openxmlformats.org/officeDocument/2006/relationships/hyperlink" Target="http://www.un.org/en/ga/search/view_doc.asp?symbol=A/RES/70/161" TargetMode="External"/><Relationship Id="rId1" Type="http://schemas.openxmlformats.org/officeDocument/2006/relationships/hyperlink" Target="http://www.timeanddate.com/worldclock/converter.html" TargetMode="External"/><Relationship Id="rId6" Type="http://schemas.openxmlformats.org/officeDocument/2006/relationships/hyperlink" Target="http://www.un.org/en/universal-declaration-human-rights/" TargetMode="External"/><Relationship Id="rId5" Type="http://schemas.openxmlformats.org/officeDocument/2006/relationships/hyperlink" Target="https://www.consilium.europa.eu/uedocs/cms_data/docs/pressdata/EN/foraff/137585.pdf" TargetMode="External"/><Relationship Id="rId10" Type="http://schemas.openxmlformats.org/officeDocument/2006/relationships/hyperlink" Target="http://www.timeanddate.com/worldclock/converter.html" TargetMode="External"/><Relationship Id="rId4" Type="http://schemas.openxmlformats.org/officeDocument/2006/relationships/hyperlink" Target="https://www.frontlinedefenders.org/en/resource-publication/2016-annual-report" TargetMode="External"/><Relationship Id="rId9" Type="http://schemas.openxmlformats.org/officeDocument/2006/relationships/hyperlink" Target="http://www.un.org/en/preventgenocide/adviser/pdf/Rabat_draft_outco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71911-7C1B-4A20-B139-2A4AC59F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53</Pages>
  <Words>19870</Words>
  <Characters>116855</Characters>
  <Application>Microsoft Office Word</Application>
  <DocSecurity>0</DocSecurity>
  <Lines>973</Lines>
  <Paragraphs>272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HENDRIKS Fabrice (DEVCO)</cp:lastModifiedBy>
  <cp:revision>10</cp:revision>
  <cp:lastPrinted>2017-09-22T15:15:00Z</cp:lastPrinted>
  <dcterms:created xsi:type="dcterms:W3CDTF">2017-09-22T14:55:00Z</dcterms:created>
  <dcterms:modified xsi:type="dcterms:W3CDTF">2017-09-25T13:18:00Z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