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F7" w:rsidRPr="00F470B3" w:rsidRDefault="001518F7" w:rsidP="001518F7">
      <w:pPr>
        <w:keepNext/>
        <w:keepLines/>
        <w:autoSpaceDE w:val="0"/>
        <w:autoSpaceDN w:val="0"/>
        <w:adjustRightInd w:val="0"/>
        <w:spacing w:before="200"/>
        <w:jc w:val="center"/>
        <w:rPr>
          <w:rFonts w:asciiTheme="majorHAnsi" w:hAnsiTheme="majorHAnsi" w:cs="Calibri"/>
          <w:b/>
          <w:bCs/>
          <w:color w:val="4F81BD"/>
          <w:sz w:val="28"/>
          <w:szCs w:val="28"/>
          <w:lang w:val="sr-Latn-CS"/>
        </w:rPr>
      </w:pPr>
      <w:bookmarkStart w:id="0" w:name="_GoBack"/>
      <w:bookmarkEnd w:id="0"/>
      <w:r w:rsidRPr="00F470B3">
        <w:rPr>
          <w:rFonts w:asciiTheme="majorHAnsi" w:hAnsiTheme="majorHAnsi" w:cs="Calibri"/>
          <w:b/>
          <w:bCs/>
          <w:color w:val="4F81BD"/>
          <w:sz w:val="28"/>
          <w:szCs w:val="28"/>
        </w:rPr>
        <w:t>Position of Serbia</w:t>
      </w:r>
    </w:p>
    <w:p w:rsidR="001518F7" w:rsidRPr="00F470B3" w:rsidRDefault="001518F7" w:rsidP="001518F7">
      <w:pPr>
        <w:keepNext/>
        <w:keepLines/>
        <w:autoSpaceDE w:val="0"/>
        <w:autoSpaceDN w:val="0"/>
        <w:adjustRightInd w:val="0"/>
        <w:spacing w:before="200"/>
        <w:jc w:val="center"/>
        <w:rPr>
          <w:rFonts w:asciiTheme="majorHAnsi" w:hAnsiTheme="majorHAnsi" w:cs="Calibri"/>
          <w:b/>
          <w:bCs/>
          <w:color w:val="4F81BD"/>
          <w:sz w:val="28"/>
          <w:szCs w:val="28"/>
          <w:lang w:val="sr-Latn-CS"/>
        </w:rPr>
      </w:pPr>
    </w:p>
    <w:p w:rsidR="001518F7" w:rsidRPr="00F470B3" w:rsidRDefault="001518F7" w:rsidP="001518F7">
      <w:pPr>
        <w:jc w:val="both"/>
        <w:rPr>
          <w:rFonts w:asciiTheme="majorHAnsi" w:hAnsiTheme="majorHAnsi"/>
          <w:sz w:val="22"/>
        </w:rPr>
      </w:pPr>
      <w:r w:rsidRPr="00F470B3">
        <w:rPr>
          <w:rFonts w:asciiTheme="majorHAnsi" w:hAnsiTheme="majorHAnsi"/>
          <w:sz w:val="22"/>
        </w:rPr>
        <w:t xml:space="preserve">The Erasmus+ programme differentiates between programme and partner countries, as regards possible modalities of participation of their institutions. Programme countries are European Union countries, Macedonia, Island, Lichtenstein, Norway and Turkey. </w:t>
      </w:r>
      <w:r w:rsidRPr="00F470B3">
        <w:rPr>
          <w:rFonts w:asciiTheme="majorHAnsi" w:hAnsiTheme="majorHAnsi"/>
          <w:b/>
          <w:sz w:val="22"/>
        </w:rPr>
        <w:t>Partner countries</w:t>
      </w:r>
      <w:r w:rsidRPr="00F470B3">
        <w:rPr>
          <w:rFonts w:asciiTheme="majorHAnsi" w:hAnsiTheme="majorHAnsi"/>
          <w:sz w:val="22"/>
        </w:rPr>
        <w:t xml:space="preserve"> can be those countries neighbouring the EU, including </w:t>
      </w:r>
      <w:r w:rsidRPr="00F470B3">
        <w:rPr>
          <w:rFonts w:asciiTheme="majorHAnsi" w:hAnsiTheme="majorHAnsi"/>
          <w:b/>
          <w:sz w:val="22"/>
        </w:rPr>
        <w:t>Serbia,</w:t>
      </w:r>
      <w:r w:rsidRPr="00F470B3">
        <w:rPr>
          <w:rFonts w:asciiTheme="majorHAnsi" w:hAnsiTheme="majorHAnsi"/>
          <w:sz w:val="22"/>
        </w:rPr>
        <w:t xml:space="preserve"> as well as all the other countries in the world. </w:t>
      </w:r>
    </w:p>
    <w:p w:rsidR="001518F7" w:rsidRPr="00F470B3" w:rsidRDefault="001518F7" w:rsidP="001518F7">
      <w:pPr>
        <w:jc w:val="both"/>
        <w:rPr>
          <w:rFonts w:asciiTheme="majorHAnsi" w:hAnsiTheme="majorHAnsi"/>
          <w:sz w:val="22"/>
        </w:rPr>
      </w:pPr>
    </w:p>
    <w:p w:rsidR="001518F7" w:rsidRPr="00F470B3" w:rsidRDefault="001518F7" w:rsidP="001518F7">
      <w:pPr>
        <w:jc w:val="both"/>
        <w:rPr>
          <w:rFonts w:asciiTheme="majorHAnsi" w:hAnsiTheme="majorHAnsi"/>
          <w:b/>
          <w:sz w:val="22"/>
        </w:rPr>
      </w:pPr>
      <w:r w:rsidRPr="00F470B3">
        <w:rPr>
          <w:rFonts w:asciiTheme="majorHAnsi" w:hAnsiTheme="majorHAnsi"/>
          <w:sz w:val="22"/>
        </w:rPr>
        <w:t xml:space="preserve">Promotion and implementation of Erasmus+ programme in Serbia, as far as education parts are concerned, is delegated to the </w:t>
      </w:r>
      <w:r w:rsidRPr="00F470B3">
        <w:rPr>
          <w:rFonts w:asciiTheme="majorHAnsi" w:hAnsiTheme="majorHAnsi"/>
          <w:b/>
          <w:sz w:val="22"/>
        </w:rPr>
        <w:t>Foundation Tempus – Erasmus + office in Serbia.</w:t>
      </w:r>
    </w:p>
    <w:p w:rsidR="001518F7" w:rsidRPr="00F470B3" w:rsidRDefault="001518F7" w:rsidP="001518F7">
      <w:pPr>
        <w:jc w:val="both"/>
        <w:rPr>
          <w:rFonts w:asciiTheme="majorHAnsi" w:hAnsiTheme="majorHAnsi"/>
          <w:sz w:val="22"/>
          <w:szCs w:val="22"/>
        </w:rPr>
      </w:pPr>
    </w:p>
    <w:p w:rsidR="001518F7" w:rsidRPr="00F470B3" w:rsidRDefault="001518F7" w:rsidP="001518F7">
      <w:pPr>
        <w:jc w:val="both"/>
        <w:rPr>
          <w:rFonts w:asciiTheme="majorHAnsi" w:hAnsiTheme="majorHAnsi"/>
          <w:sz w:val="22"/>
        </w:rPr>
      </w:pPr>
      <w:r w:rsidRPr="00F470B3">
        <w:rPr>
          <w:rFonts w:asciiTheme="majorHAnsi" w:hAnsiTheme="majorHAnsi"/>
          <w:sz w:val="22"/>
        </w:rPr>
        <w:t>The Erasmus+ programme has three Key Actions and two separate parts – Jean Monnet and Sport. Serbian institutions can take part in certain types of projects which each of the enumerated Erasmus+ parts.</w:t>
      </w:r>
    </w:p>
    <w:p w:rsidR="001518F7" w:rsidRPr="00F470B3" w:rsidRDefault="001518F7" w:rsidP="001518F7">
      <w:pPr>
        <w:jc w:val="both"/>
        <w:rPr>
          <w:rFonts w:asciiTheme="majorHAnsi" w:hAnsiTheme="majorHAnsi"/>
          <w:b/>
          <w:sz w:val="22"/>
        </w:rPr>
      </w:pPr>
    </w:p>
    <w:p w:rsidR="001518F7" w:rsidRPr="00F470B3" w:rsidRDefault="001518F7" w:rsidP="001518F7">
      <w:pPr>
        <w:jc w:val="both"/>
        <w:rPr>
          <w:rFonts w:asciiTheme="majorHAnsi" w:hAnsiTheme="majorHAnsi"/>
          <w:b/>
          <w:sz w:val="22"/>
        </w:rPr>
      </w:pPr>
      <w:r w:rsidRPr="00F470B3">
        <w:rPr>
          <w:rFonts w:asciiTheme="majorHAnsi" w:hAnsiTheme="majorHAnsi"/>
          <w:b/>
          <w:sz w:val="22"/>
        </w:rPr>
        <w:t xml:space="preserve">KA1 – Academic exchange </w:t>
      </w:r>
    </w:p>
    <w:p w:rsidR="001518F7" w:rsidRPr="00F470B3" w:rsidRDefault="001518F7" w:rsidP="001518F7">
      <w:pPr>
        <w:autoSpaceDE w:val="0"/>
        <w:autoSpaceDN w:val="0"/>
        <w:adjustRightInd w:val="0"/>
        <w:jc w:val="both"/>
        <w:rPr>
          <w:rFonts w:asciiTheme="majorHAnsi" w:hAnsiTheme="majorHAnsi" w:cs="Calibri"/>
          <w:color w:val="FF0000"/>
          <w:sz w:val="22"/>
        </w:rPr>
      </w:pPr>
      <w:r w:rsidRPr="00F470B3">
        <w:rPr>
          <w:rFonts w:asciiTheme="majorHAnsi" w:hAnsiTheme="majorHAnsi" w:cs="Calibri"/>
          <w:sz w:val="22"/>
        </w:rPr>
        <w:t xml:space="preserve">Higher education institutions from Serbia can apply for projects through which they can provide scholarship schemes for the exchange of students, academic and administrative staff with higher education institutions from the EU countries. </w:t>
      </w:r>
    </w:p>
    <w:p w:rsidR="001518F7" w:rsidRPr="00F470B3" w:rsidRDefault="001518F7" w:rsidP="001518F7">
      <w:pPr>
        <w:jc w:val="both"/>
        <w:rPr>
          <w:rFonts w:asciiTheme="majorHAnsi" w:hAnsiTheme="majorHAnsi"/>
          <w:sz w:val="22"/>
        </w:rPr>
      </w:pPr>
      <w:r w:rsidRPr="00F470B3">
        <w:rPr>
          <w:rFonts w:asciiTheme="majorHAnsi" w:hAnsiTheme="majorHAnsi"/>
          <w:sz w:val="22"/>
        </w:rPr>
        <w:t xml:space="preserve"> </w:t>
      </w:r>
    </w:p>
    <w:p w:rsidR="001518F7" w:rsidRPr="00F470B3" w:rsidRDefault="001518F7" w:rsidP="001518F7">
      <w:pPr>
        <w:jc w:val="both"/>
        <w:rPr>
          <w:rFonts w:asciiTheme="majorHAnsi" w:hAnsiTheme="majorHAnsi"/>
          <w:sz w:val="22"/>
        </w:rPr>
      </w:pPr>
    </w:p>
    <w:p w:rsidR="001518F7" w:rsidRPr="00F470B3" w:rsidRDefault="001518F7" w:rsidP="001518F7">
      <w:pPr>
        <w:jc w:val="both"/>
        <w:rPr>
          <w:rFonts w:asciiTheme="majorHAnsi" w:hAnsiTheme="majorHAnsi"/>
          <w:b/>
          <w:sz w:val="22"/>
        </w:rPr>
      </w:pPr>
      <w:r w:rsidRPr="00F470B3">
        <w:rPr>
          <w:rFonts w:asciiTheme="majorHAnsi" w:hAnsiTheme="majorHAnsi"/>
          <w:b/>
          <w:sz w:val="22"/>
        </w:rPr>
        <w:t>KA1 -  Joint master programmes</w:t>
      </w:r>
    </w:p>
    <w:p w:rsidR="001518F7" w:rsidRPr="00F470B3" w:rsidRDefault="001518F7" w:rsidP="001518F7">
      <w:pPr>
        <w:autoSpaceDE w:val="0"/>
        <w:autoSpaceDN w:val="0"/>
        <w:adjustRightInd w:val="0"/>
        <w:jc w:val="both"/>
        <w:rPr>
          <w:rFonts w:asciiTheme="majorHAnsi" w:hAnsiTheme="majorHAnsi" w:cs="Calibri"/>
          <w:color w:val="FF0000"/>
          <w:sz w:val="22"/>
        </w:rPr>
      </w:pPr>
      <w:r w:rsidRPr="00F470B3">
        <w:rPr>
          <w:rFonts w:asciiTheme="majorHAnsi" w:hAnsiTheme="majorHAnsi"/>
          <w:sz w:val="22"/>
        </w:rPr>
        <w:t xml:space="preserve">Higher education institutions from Serbia can be partners in projects for the creation of joint master programmes together with higher education institutions from the EU countries. </w:t>
      </w:r>
    </w:p>
    <w:p w:rsidR="001518F7" w:rsidRPr="00F470B3" w:rsidRDefault="001518F7" w:rsidP="001518F7">
      <w:pPr>
        <w:jc w:val="both"/>
        <w:rPr>
          <w:rFonts w:asciiTheme="majorHAnsi" w:hAnsiTheme="majorHAnsi"/>
          <w:sz w:val="22"/>
          <w:lang w:val="sr-Latn-CS"/>
        </w:rPr>
      </w:pPr>
    </w:p>
    <w:p w:rsidR="001518F7" w:rsidRPr="00F470B3" w:rsidRDefault="001518F7" w:rsidP="001518F7">
      <w:pPr>
        <w:jc w:val="both"/>
        <w:rPr>
          <w:rFonts w:asciiTheme="majorHAnsi" w:hAnsiTheme="majorHAnsi"/>
          <w:sz w:val="22"/>
        </w:rPr>
      </w:pPr>
    </w:p>
    <w:p w:rsidR="001518F7" w:rsidRPr="00F470B3" w:rsidRDefault="001518F7" w:rsidP="001518F7">
      <w:pPr>
        <w:jc w:val="both"/>
        <w:rPr>
          <w:rFonts w:asciiTheme="majorHAnsi" w:hAnsiTheme="majorHAnsi"/>
          <w:b/>
          <w:sz w:val="22"/>
        </w:rPr>
      </w:pPr>
      <w:r w:rsidRPr="00F470B3">
        <w:rPr>
          <w:rFonts w:asciiTheme="majorHAnsi" w:hAnsiTheme="majorHAnsi"/>
          <w:b/>
          <w:sz w:val="22"/>
        </w:rPr>
        <w:t xml:space="preserve">Key action 2 </w:t>
      </w:r>
    </w:p>
    <w:p w:rsidR="001518F7" w:rsidRPr="00F470B3" w:rsidRDefault="001518F7" w:rsidP="001518F7">
      <w:pPr>
        <w:jc w:val="both"/>
        <w:rPr>
          <w:rFonts w:asciiTheme="majorHAnsi" w:hAnsiTheme="majorHAnsi"/>
          <w:sz w:val="22"/>
        </w:rPr>
      </w:pPr>
      <w:r w:rsidRPr="00F470B3">
        <w:rPr>
          <w:rFonts w:asciiTheme="majorHAnsi" w:hAnsiTheme="majorHAnsi"/>
          <w:sz w:val="22"/>
        </w:rPr>
        <w:t>Institutions from Serbia can take part in all types of Erasmus+ Action 2 projects. There are two modalities of participation:</w:t>
      </w:r>
    </w:p>
    <w:p w:rsidR="001518F7" w:rsidRPr="00F470B3" w:rsidRDefault="001518F7" w:rsidP="001518F7">
      <w:pPr>
        <w:autoSpaceDE w:val="0"/>
        <w:autoSpaceDN w:val="0"/>
        <w:adjustRightInd w:val="0"/>
        <w:jc w:val="both"/>
        <w:rPr>
          <w:rFonts w:asciiTheme="majorHAnsi" w:hAnsiTheme="majorHAnsi"/>
          <w:sz w:val="22"/>
        </w:rPr>
      </w:pPr>
    </w:p>
    <w:p w:rsidR="001518F7" w:rsidRPr="00F470B3" w:rsidRDefault="001518F7" w:rsidP="001518F7">
      <w:pPr>
        <w:autoSpaceDE w:val="0"/>
        <w:autoSpaceDN w:val="0"/>
        <w:adjustRightInd w:val="0"/>
        <w:jc w:val="both"/>
        <w:rPr>
          <w:rFonts w:asciiTheme="majorHAnsi" w:hAnsiTheme="majorHAnsi" w:cs="Calibri"/>
          <w:color w:val="FF0000"/>
          <w:sz w:val="22"/>
        </w:rPr>
      </w:pPr>
      <w:r w:rsidRPr="00F470B3">
        <w:rPr>
          <w:rFonts w:asciiTheme="majorHAnsi" w:hAnsiTheme="majorHAnsi"/>
          <w:sz w:val="22"/>
        </w:rPr>
        <w:t xml:space="preserve">1. Participation, </w:t>
      </w:r>
      <w:r w:rsidRPr="00F470B3">
        <w:rPr>
          <w:rFonts w:asciiTheme="majorHAnsi" w:hAnsiTheme="majorHAnsi"/>
          <w:b/>
          <w:sz w:val="22"/>
        </w:rPr>
        <w:t xml:space="preserve">as partners or coordinators </w:t>
      </w:r>
      <w:r w:rsidRPr="00F470B3">
        <w:rPr>
          <w:rFonts w:asciiTheme="majorHAnsi" w:hAnsiTheme="majorHAnsi"/>
          <w:sz w:val="22"/>
        </w:rPr>
        <w:t xml:space="preserve">of projects, in Capacity Building Projects for Higher Education. </w:t>
      </w:r>
    </w:p>
    <w:p w:rsidR="001518F7" w:rsidRPr="00F470B3" w:rsidRDefault="001518F7" w:rsidP="001518F7">
      <w:pPr>
        <w:autoSpaceDE w:val="0"/>
        <w:autoSpaceDN w:val="0"/>
        <w:adjustRightInd w:val="0"/>
        <w:jc w:val="both"/>
        <w:rPr>
          <w:rFonts w:asciiTheme="majorHAnsi" w:hAnsiTheme="majorHAnsi" w:cs="Calibri"/>
          <w:color w:val="FF0000"/>
          <w:sz w:val="22"/>
        </w:rPr>
      </w:pPr>
    </w:p>
    <w:p w:rsidR="001518F7" w:rsidRPr="00F470B3" w:rsidRDefault="001518F7" w:rsidP="001518F7">
      <w:pPr>
        <w:autoSpaceDE w:val="0"/>
        <w:autoSpaceDN w:val="0"/>
        <w:adjustRightInd w:val="0"/>
        <w:jc w:val="both"/>
        <w:rPr>
          <w:rFonts w:asciiTheme="majorHAnsi" w:hAnsiTheme="majorHAnsi"/>
          <w:sz w:val="22"/>
        </w:rPr>
      </w:pPr>
      <w:r w:rsidRPr="00F470B3">
        <w:rPr>
          <w:rFonts w:asciiTheme="majorHAnsi" w:hAnsiTheme="majorHAnsi" w:cs="Calibri"/>
          <w:sz w:val="22"/>
        </w:rPr>
        <w:t xml:space="preserve">2. </w:t>
      </w:r>
      <w:r w:rsidRPr="00F470B3">
        <w:rPr>
          <w:rFonts w:asciiTheme="majorHAnsi" w:hAnsiTheme="majorHAnsi"/>
          <w:sz w:val="22"/>
        </w:rPr>
        <w:t xml:space="preserve">Participation </w:t>
      </w:r>
      <w:r w:rsidRPr="00F470B3">
        <w:rPr>
          <w:rFonts w:asciiTheme="majorHAnsi" w:hAnsiTheme="majorHAnsi"/>
          <w:b/>
          <w:sz w:val="22"/>
        </w:rPr>
        <w:t>as partners</w:t>
      </w:r>
      <w:r w:rsidRPr="00F470B3">
        <w:rPr>
          <w:rFonts w:asciiTheme="majorHAnsi" w:hAnsiTheme="majorHAnsi"/>
          <w:sz w:val="22"/>
        </w:rPr>
        <w:t xml:space="preserve"> only (not as applicants), </w:t>
      </w:r>
      <w:r w:rsidRPr="00F470B3">
        <w:rPr>
          <w:rFonts w:asciiTheme="majorHAnsi" w:hAnsiTheme="majorHAnsi"/>
          <w:sz w:val="22"/>
          <w:u w:val="single"/>
        </w:rPr>
        <w:t>provided that</w:t>
      </w:r>
      <w:r w:rsidRPr="00F470B3">
        <w:rPr>
          <w:rFonts w:asciiTheme="majorHAnsi" w:hAnsiTheme="majorHAnsi"/>
          <w:sz w:val="22"/>
        </w:rPr>
        <w:t xml:space="preserve"> their participation brings an essential added value to the project. This refers to Participation </w:t>
      </w:r>
      <w:r w:rsidRPr="00F470B3">
        <w:rPr>
          <w:rFonts w:asciiTheme="majorHAnsi" w:hAnsiTheme="majorHAnsi"/>
          <w:b/>
          <w:sz w:val="22"/>
        </w:rPr>
        <w:t>Knowledge Alliances, Sectoral Skills Alliances and Strategic Partnerships</w:t>
      </w:r>
      <w:r w:rsidRPr="00F470B3">
        <w:rPr>
          <w:rFonts w:asciiTheme="majorHAnsi" w:hAnsiTheme="majorHAnsi"/>
          <w:sz w:val="22"/>
        </w:rPr>
        <w:t xml:space="preserve">. </w:t>
      </w:r>
    </w:p>
    <w:p w:rsidR="001518F7" w:rsidRPr="00F470B3" w:rsidRDefault="001518F7" w:rsidP="001518F7">
      <w:pPr>
        <w:autoSpaceDE w:val="0"/>
        <w:autoSpaceDN w:val="0"/>
        <w:adjustRightInd w:val="0"/>
        <w:jc w:val="both"/>
        <w:rPr>
          <w:rFonts w:asciiTheme="majorHAnsi" w:hAnsiTheme="majorHAnsi" w:cs="Calibri"/>
          <w:color w:val="FF0000"/>
          <w:sz w:val="22"/>
        </w:rPr>
      </w:pPr>
    </w:p>
    <w:p w:rsidR="001518F7" w:rsidRPr="00F470B3" w:rsidRDefault="001518F7" w:rsidP="001518F7">
      <w:pPr>
        <w:autoSpaceDE w:val="0"/>
        <w:autoSpaceDN w:val="0"/>
        <w:adjustRightInd w:val="0"/>
        <w:jc w:val="both"/>
        <w:rPr>
          <w:rFonts w:asciiTheme="majorHAnsi" w:hAnsiTheme="majorHAnsi"/>
          <w:sz w:val="22"/>
        </w:rPr>
      </w:pPr>
    </w:p>
    <w:p w:rsidR="001518F7" w:rsidRPr="00F470B3" w:rsidRDefault="001518F7" w:rsidP="001518F7">
      <w:pPr>
        <w:autoSpaceDE w:val="0"/>
        <w:autoSpaceDN w:val="0"/>
        <w:adjustRightInd w:val="0"/>
        <w:jc w:val="both"/>
        <w:rPr>
          <w:rFonts w:asciiTheme="majorHAnsi" w:hAnsiTheme="majorHAnsi" w:cs="Calibri"/>
          <w:color w:val="FF0000"/>
          <w:sz w:val="22"/>
        </w:rPr>
      </w:pPr>
      <w:r w:rsidRPr="00F470B3">
        <w:rPr>
          <w:rFonts w:asciiTheme="majorHAnsi" w:hAnsiTheme="majorHAnsi"/>
          <w:sz w:val="22"/>
        </w:rPr>
        <w:t xml:space="preserve">The efforts are made to create conditions so that Serbian school teachers can start using eTwinning internet portal for cooperation and exchange of good practices.  </w:t>
      </w:r>
    </w:p>
    <w:p w:rsidR="001518F7" w:rsidRPr="00F470B3" w:rsidRDefault="001518F7" w:rsidP="001518F7">
      <w:pPr>
        <w:autoSpaceDE w:val="0"/>
        <w:autoSpaceDN w:val="0"/>
        <w:adjustRightInd w:val="0"/>
        <w:jc w:val="both"/>
        <w:rPr>
          <w:rFonts w:asciiTheme="majorHAnsi" w:hAnsiTheme="majorHAnsi" w:cs="Calibri"/>
          <w:color w:val="FF0000"/>
          <w:sz w:val="22"/>
        </w:rPr>
      </w:pPr>
    </w:p>
    <w:p w:rsidR="001518F7" w:rsidRPr="00F470B3" w:rsidRDefault="001518F7" w:rsidP="001518F7">
      <w:pPr>
        <w:jc w:val="both"/>
        <w:rPr>
          <w:rFonts w:asciiTheme="majorHAnsi" w:hAnsiTheme="majorHAnsi"/>
          <w:b/>
          <w:sz w:val="22"/>
          <w:lang w:val="sr-Latn-CS"/>
        </w:rPr>
      </w:pPr>
      <w:r w:rsidRPr="00F470B3">
        <w:rPr>
          <w:rFonts w:asciiTheme="majorHAnsi" w:hAnsiTheme="majorHAnsi"/>
          <w:b/>
          <w:sz w:val="22"/>
        </w:rPr>
        <w:t xml:space="preserve">Key Action 3 </w:t>
      </w:r>
    </w:p>
    <w:p w:rsidR="001518F7" w:rsidRPr="00F470B3" w:rsidRDefault="001518F7" w:rsidP="001518F7">
      <w:pPr>
        <w:jc w:val="both"/>
        <w:rPr>
          <w:rFonts w:asciiTheme="majorHAnsi" w:hAnsiTheme="majorHAnsi"/>
          <w:sz w:val="22"/>
        </w:rPr>
      </w:pPr>
      <w:r w:rsidRPr="00F470B3">
        <w:rPr>
          <w:rFonts w:asciiTheme="majorHAnsi" w:hAnsiTheme="majorHAnsi"/>
          <w:sz w:val="22"/>
        </w:rPr>
        <w:t>Serbia can take part in Erasmus+ Key Action 3 projects  supporting  policy reform targeted at the achievement of the goals set in the Europe 2020 Strategy, Strategic Framework for European Cooperation in Education and Training (ET 2020) and European Youth Strategy.</w:t>
      </w:r>
    </w:p>
    <w:p w:rsidR="00671E79" w:rsidRDefault="00671E79" w:rsidP="001518F7">
      <w:pPr>
        <w:jc w:val="both"/>
        <w:rPr>
          <w:rFonts w:asciiTheme="majorHAnsi" w:hAnsiTheme="majorHAnsi"/>
          <w:sz w:val="22"/>
        </w:rPr>
      </w:pPr>
    </w:p>
    <w:p w:rsidR="00671E79" w:rsidRDefault="00671E79" w:rsidP="001518F7">
      <w:pPr>
        <w:jc w:val="both"/>
        <w:rPr>
          <w:rFonts w:asciiTheme="majorHAnsi" w:hAnsiTheme="majorHAnsi"/>
          <w:sz w:val="22"/>
        </w:rPr>
      </w:pPr>
    </w:p>
    <w:p w:rsidR="00671E79" w:rsidRDefault="00671E79" w:rsidP="001518F7">
      <w:pPr>
        <w:jc w:val="both"/>
        <w:rPr>
          <w:rFonts w:asciiTheme="majorHAnsi" w:hAnsiTheme="majorHAnsi"/>
          <w:sz w:val="22"/>
        </w:rPr>
      </w:pPr>
    </w:p>
    <w:p w:rsidR="00671E79" w:rsidRDefault="00671E79" w:rsidP="001518F7">
      <w:pPr>
        <w:jc w:val="both"/>
        <w:rPr>
          <w:rFonts w:asciiTheme="majorHAnsi" w:hAnsiTheme="majorHAnsi"/>
          <w:sz w:val="22"/>
        </w:rPr>
      </w:pPr>
    </w:p>
    <w:p w:rsidR="00671E79" w:rsidRDefault="00671E79" w:rsidP="001518F7">
      <w:pPr>
        <w:jc w:val="both"/>
        <w:rPr>
          <w:rFonts w:asciiTheme="majorHAnsi" w:hAnsiTheme="majorHAnsi"/>
          <w:sz w:val="22"/>
        </w:rPr>
      </w:pPr>
    </w:p>
    <w:p w:rsidR="001518F7" w:rsidRPr="00F470B3" w:rsidRDefault="001518F7" w:rsidP="001518F7">
      <w:pPr>
        <w:jc w:val="both"/>
        <w:rPr>
          <w:rFonts w:asciiTheme="majorHAnsi" w:hAnsiTheme="majorHAnsi"/>
          <w:sz w:val="22"/>
        </w:rPr>
      </w:pPr>
    </w:p>
    <w:p w:rsidR="001518F7" w:rsidRPr="00F470B3" w:rsidRDefault="001518F7" w:rsidP="001518F7">
      <w:pPr>
        <w:jc w:val="both"/>
        <w:rPr>
          <w:rFonts w:asciiTheme="majorHAnsi" w:hAnsiTheme="majorHAnsi"/>
          <w:b/>
          <w:sz w:val="22"/>
        </w:rPr>
      </w:pPr>
      <w:r w:rsidRPr="00F470B3">
        <w:rPr>
          <w:rFonts w:asciiTheme="majorHAnsi" w:hAnsiTheme="majorHAnsi"/>
          <w:sz w:val="22"/>
        </w:rPr>
        <w:t xml:space="preserve"> </w:t>
      </w:r>
      <w:r w:rsidRPr="00F470B3">
        <w:rPr>
          <w:rFonts w:asciiTheme="majorHAnsi" w:hAnsiTheme="majorHAnsi"/>
          <w:b/>
          <w:sz w:val="22"/>
        </w:rPr>
        <w:t xml:space="preserve">Jean Monnet </w:t>
      </w:r>
    </w:p>
    <w:p w:rsidR="001518F7" w:rsidRPr="00F470B3" w:rsidRDefault="001518F7" w:rsidP="001518F7">
      <w:pPr>
        <w:autoSpaceDE w:val="0"/>
        <w:autoSpaceDN w:val="0"/>
        <w:adjustRightInd w:val="0"/>
        <w:jc w:val="both"/>
        <w:rPr>
          <w:rFonts w:asciiTheme="majorHAnsi" w:hAnsiTheme="majorHAnsi" w:cs="Calibri"/>
          <w:color w:val="FF0000"/>
          <w:sz w:val="22"/>
        </w:rPr>
      </w:pPr>
      <w:r w:rsidRPr="00F470B3">
        <w:rPr>
          <w:rFonts w:asciiTheme="majorHAnsi" w:hAnsiTheme="majorHAnsi"/>
          <w:sz w:val="22"/>
        </w:rPr>
        <w:t xml:space="preserve">The Jean Monnet Actions aim at promoting excellence in teaching and research in the field of European Union studies worldwide. </w:t>
      </w:r>
      <w:r w:rsidRPr="00F470B3">
        <w:rPr>
          <w:rFonts w:asciiTheme="majorHAnsi" w:hAnsiTheme="majorHAnsi" w:cs="Calibri"/>
          <w:sz w:val="22"/>
          <w:szCs w:val="22"/>
        </w:rPr>
        <w:t xml:space="preserve">Institutions from Serbia can participate in all types of Jean Monnet projects, similar to institutions from all over the world. </w:t>
      </w:r>
    </w:p>
    <w:p w:rsidR="00F470B3" w:rsidRDefault="00F470B3">
      <w:pPr>
        <w:rPr>
          <w:rFonts w:asciiTheme="majorHAnsi" w:hAnsiTheme="majorHAnsi"/>
        </w:rPr>
      </w:pPr>
    </w:p>
    <w:p w:rsidR="00F470B3" w:rsidRPr="00F470B3" w:rsidRDefault="005F2E2A">
      <w:pPr>
        <w:rPr>
          <w:rFonts w:asciiTheme="majorHAnsi" w:hAnsiTheme="majorHAnsi"/>
        </w:rPr>
      </w:pPr>
      <w:r>
        <w:rPr>
          <w:rFonts w:asciiTheme="majorHAnsi" w:hAnsiTheme="majorHAnsi"/>
        </w:rPr>
        <w:t xml:space="preserve">Call  for projects 2015 </w:t>
      </w:r>
    </w:p>
    <w:tbl>
      <w:tblPr>
        <w:tblStyle w:val="TableGrid"/>
        <w:tblW w:w="0" w:type="auto"/>
        <w:tblLook w:val="00BF" w:firstRow="1" w:lastRow="0" w:firstColumn="1" w:lastColumn="0" w:noHBand="0" w:noVBand="0"/>
      </w:tblPr>
      <w:tblGrid>
        <w:gridCol w:w="4258"/>
        <w:gridCol w:w="4258"/>
      </w:tblGrid>
      <w:tr w:rsidR="00F470B3" w:rsidRPr="00F470B3" w:rsidTr="00F470B3">
        <w:tc>
          <w:tcPr>
            <w:tcW w:w="4258" w:type="dxa"/>
          </w:tcPr>
          <w:p w:rsidR="00F470B3" w:rsidRPr="00F470B3" w:rsidRDefault="00F470B3" w:rsidP="00F470B3">
            <w:pPr>
              <w:rPr>
                <w:rFonts w:asciiTheme="majorHAnsi" w:hAnsiTheme="majorHAnsi"/>
              </w:rPr>
            </w:pPr>
            <w:r w:rsidRPr="00F470B3">
              <w:rPr>
                <w:rFonts w:asciiTheme="majorHAnsi" w:hAnsiTheme="majorHAnsi"/>
              </w:rPr>
              <w:t>Project type</w:t>
            </w:r>
          </w:p>
        </w:tc>
        <w:tc>
          <w:tcPr>
            <w:tcW w:w="4258" w:type="dxa"/>
          </w:tcPr>
          <w:p w:rsidR="00F470B3" w:rsidRPr="00F470B3" w:rsidRDefault="00F470B3" w:rsidP="00F470B3">
            <w:pPr>
              <w:rPr>
                <w:rFonts w:asciiTheme="majorHAnsi" w:hAnsiTheme="majorHAnsi"/>
              </w:rPr>
            </w:pPr>
            <w:r w:rsidRPr="00F470B3">
              <w:rPr>
                <w:rFonts w:asciiTheme="majorHAnsi" w:hAnsiTheme="majorHAnsi"/>
              </w:rPr>
              <w:t>Deadline</w:t>
            </w:r>
          </w:p>
        </w:tc>
      </w:tr>
      <w:tr w:rsidR="00F470B3" w:rsidRPr="00F470B3" w:rsidTr="00F470B3">
        <w:tc>
          <w:tcPr>
            <w:tcW w:w="4258" w:type="dxa"/>
          </w:tcPr>
          <w:p w:rsidR="00F470B3" w:rsidRPr="00F470B3" w:rsidRDefault="00F470B3" w:rsidP="00F470B3">
            <w:pPr>
              <w:rPr>
                <w:rFonts w:asciiTheme="majorHAnsi" w:hAnsiTheme="majorHAnsi"/>
                <w:b/>
              </w:rPr>
            </w:pPr>
            <w:r w:rsidRPr="00F470B3">
              <w:rPr>
                <w:rFonts w:asciiTheme="majorHAnsi" w:hAnsiTheme="majorHAnsi"/>
                <w:b/>
              </w:rPr>
              <w:t>Key Action 1</w:t>
            </w:r>
            <w:r w:rsidRPr="00F470B3">
              <w:rPr>
                <w:rFonts w:asciiTheme="majorHAnsi" w:hAnsiTheme="majorHAnsi"/>
                <w:b/>
              </w:rPr>
              <w:tab/>
            </w:r>
          </w:p>
          <w:p w:rsidR="00F470B3" w:rsidRPr="00F470B3" w:rsidRDefault="00F470B3" w:rsidP="00F470B3">
            <w:pPr>
              <w:rPr>
                <w:rFonts w:asciiTheme="majorHAnsi" w:hAnsiTheme="majorHAnsi"/>
                <w:b/>
              </w:rPr>
            </w:pPr>
          </w:p>
        </w:tc>
        <w:tc>
          <w:tcPr>
            <w:tcW w:w="4258" w:type="dxa"/>
          </w:tcPr>
          <w:p w:rsidR="00F470B3" w:rsidRPr="00F470B3" w:rsidRDefault="00F470B3" w:rsidP="00F470B3">
            <w:pPr>
              <w:rPr>
                <w:rFonts w:asciiTheme="majorHAnsi" w:hAnsiTheme="majorHAnsi"/>
                <w:b/>
              </w:rPr>
            </w:pPr>
          </w:p>
        </w:tc>
      </w:tr>
      <w:tr w:rsidR="00F470B3" w:rsidRPr="00F470B3" w:rsidTr="00F470B3">
        <w:tc>
          <w:tcPr>
            <w:tcW w:w="4258" w:type="dxa"/>
          </w:tcPr>
          <w:p w:rsidR="00F470B3" w:rsidRPr="00F470B3" w:rsidRDefault="00F470B3" w:rsidP="00F470B3">
            <w:pPr>
              <w:rPr>
                <w:rFonts w:asciiTheme="majorHAnsi" w:hAnsiTheme="majorHAnsi"/>
              </w:rPr>
            </w:pPr>
            <w:r w:rsidRPr="00F470B3">
              <w:rPr>
                <w:rFonts w:asciiTheme="majorHAnsi" w:hAnsiTheme="majorHAnsi"/>
              </w:rPr>
              <w:t>Academic Exchange Projects</w:t>
            </w:r>
          </w:p>
        </w:tc>
        <w:tc>
          <w:tcPr>
            <w:tcW w:w="4258" w:type="dxa"/>
          </w:tcPr>
          <w:p w:rsidR="00F470B3" w:rsidRPr="00F470B3" w:rsidRDefault="00F470B3" w:rsidP="00F470B3">
            <w:pPr>
              <w:rPr>
                <w:rFonts w:asciiTheme="majorHAnsi" w:hAnsiTheme="majorHAnsi"/>
              </w:rPr>
            </w:pPr>
            <w:r w:rsidRPr="00F470B3">
              <w:rPr>
                <w:rFonts w:asciiTheme="majorHAnsi" w:hAnsiTheme="majorHAnsi"/>
              </w:rPr>
              <w:t>4th March 2015</w:t>
            </w:r>
          </w:p>
        </w:tc>
      </w:tr>
      <w:tr w:rsidR="00F470B3" w:rsidRPr="00F470B3" w:rsidTr="00F470B3">
        <w:tc>
          <w:tcPr>
            <w:tcW w:w="4258" w:type="dxa"/>
          </w:tcPr>
          <w:p w:rsidR="00F470B3" w:rsidRPr="00F470B3" w:rsidRDefault="00F470B3" w:rsidP="00F470B3">
            <w:pPr>
              <w:rPr>
                <w:rFonts w:asciiTheme="majorHAnsi" w:hAnsiTheme="majorHAnsi"/>
              </w:rPr>
            </w:pPr>
            <w:r w:rsidRPr="00F470B3">
              <w:rPr>
                <w:rFonts w:asciiTheme="majorHAnsi" w:hAnsiTheme="majorHAnsi"/>
              </w:rPr>
              <w:t>Erasmus Mundus Joint Master Degrees</w:t>
            </w:r>
          </w:p>
        </w:tc>
        <w:tc>
          <w:tcPr>
            <w:tcW w:w="4258" w:type="dxa"/>
          </w:tcPr>
          <w:p w:rsidR="00F470B3" w:rsidRPr="00F470B3" w:rsidRDefault="00F470B3" w:rsidP="00F470B3">
            <w:pPr>
              <w:rPr>
                <w:rFonts w:asciiTheme="majorHAnsi" w:hAnsiTheme="majorHAnsi"/>
              </w:rPr>
            </w:pPr>
            <w:r w:rsidRPr="00F470B3">
              <w:rPr>
                <w:rFonts w:asciiTheme="majorHAnsi" w:hAnsiTheme="majorHAnsi"/>
              </w:rPr>
              <w:t>4th March 2015</w:t>
            </w:r>
          </w:p>
        </w:tc>
      </w:tr>
      <w:tr w:rsidR="00F470B3" w:rsidRPr="00F470B3" w:rsidTr="00F470B3">
        <w:tc>
          <w:tcPr>
            <w:tcW w:w="4258" w:type="dxa"/>
          </w:tcPr>
          <w:p w:rsidR="00F470B3" w:rsidRPr="00F470B3" w:rsidRDefault="00F470B3" w:rsidP="00F470B3">
            <w:pPr>
              <w:rPr>
                <w:rFonts w:asciiTheme="majorHAnsi" w:hAnsiTheme="majorHAnsi"/>
                <w:b/>
              </w:rPr>
            </w:pPr>
            <w:r w:rsidRPr="00F470B3">
              <w:rPr>
                <w:rFonts w:asciiTheme="majorHAnsi" w:hAnsiTheme="majorHAnsi"/>
                <w:b/>
              </w:rPr>
              <w:t>Key Action 2</w:t>
            </w:r>
            <w:r w:rsidRPr="00F470B3">
              <w:rPr>
                <w:rFonts w:asciiTheme="majorHAnsi" w:hAnsiTheme="majorHAnsi"/>
                <w:b/>
              </w:rPr>
              <w:tab/>
            </w:r>
          </w:p>
          <w:p w:rsidR="00F470B3" w:rsidRPr="00F470B3" w:rsidRDefault="00F470B3" w:rsidP="00F470B3">
            <w:pPr>
              <w:rPr>
                <w:rFonts w:asciiTheme="majorHAnsi" w:hAnsiTheme="majorHAnsi"/>
                <w:b/>
              </w:rPr>
            </w:pPr>
          </w:p>
        </w:tc>
        <w:tc>
          <w:tcPr>
            <w:tcW w:w="4258" w:type="dxa"/>
          </w:tcPr>
          <w:p w:rsidR="00F470B3" w:rsidRPr="00F470B3" w:rsidRDefault="00F470B3" w:rsidP="00F470B3">
            <w:pPr>
              <w:rPr>
                <w:rFonts w:asciiTheme="majorHAnsi" w:hAnsiTheme="majorHAnsi"/>
                <w:b/>
              </w:rPr>
            </w:pPr>
          </w:p>
        </w:tc>
      </w:tr>
      <w:tr w:rsidR="00F470B3" w:rsidRPr="00F470B3" w:rsidTr="00F470B3">
        <w:tc>
          <w:tcPr>
            <w:tcW w:w="4258" w:type="dxa"/>
          </w:tcPr>
          <w:p w:rsidR="00F470B3" w:rsidRPr="00F470B3" w:rsidRDefault="00F470B3" w:rsidP="00F470B3">
            <w:pPr>
              <w:rPr>
                <w:rFonts w:asciiTheme="majorHAnsi" w:hAnsiTheme="majorHAnsi"/>
              </w:rPr>
            </w:pPr>
            <w:r w:rsidRPr="00F470B3">
              <w:rPr>
                <w:rFonts w:asciiTheme="majorHAnsi" w:hAnsiTheme="majorHAnsi"/>
              </w:rPr>
              <w:t>Capacity Building in Higher Education</w:t>
            </w:r>
          </w:p>
        </w:tc>
        <w:tc>
          <w:tcPr>
            <w:tcW w:w="4258" w:type="dxa"/>
          </w:tcPr>
          <w:p w:rsidR="00F470B3" w:rsidRPr="00F470B3" w:rsidRDefault="00F470B3" w:rsidP="00F470B3">
            <w:pPr>
              <w:rPr>
                <w:rFonts w:asciiTheme="majorHAnsi" w:hAnsiTheme="majorHAnsi"/>
              </w:rPr>
            </w:pPr>
            <w:r w:rsidRPr="00F470B3">
              <w:rPr>
                <w:rFonts w:asciiTheme="majorHAnsi" w:hAnsiTheme="majorHAnsi"/>
              </w:rPr>
              <w:t>10th February 2015</w:t>
            </w:r>
          </w:p>
        </w:tc>
      </w:tr>
      <w:tr w:rsidR="00F470B3" w:rsidRPr="00F470B3" w:rsidTr="00F470B3">
        <w:tc>
          <w:tcPr>
            <w:tcW w:w="4258" w:type="dxa"/>
          </w:tcPr>
          <w:p w:rsidR="00F470B3" w:rsidRPr="00F470B3" w:rsidRDefault="00F470B3" w:rsidP="00F470B3">
            <w:pPr>
              <w:rPr>
                <w:rFonts w:asciiTheme="majorHAnsi" w:hAnsiTheme="majorHAnsi"/>
              </w:rPr>
            </w:pPr>
            <w:r w:rsidRPr="00F470B3">
              <w:rPr>
                <w:rFonts w:asciiTheme="majorHAnsi" w:hAnsiTheme="majorHAnsi"/>
              </w:rPr>
              <w:t>Knowledge Alliances</w:t>
            </w:r>
          </w:p>
        </w:tc>
        <w:tc>
          <w:tcPr>
            <w:tcW w:w="4258" w:type="dxa"/>
          </w:tcPr>
          <w:p w:rsidR="00F470B3" w:rsidRPr="00F470B3" w:rsidRDefault="00F470B3" w:rsidP="00F470B3">
            <w:pPr>
              <w:rPr>
                <w:rFonts w:asciiTheme="majorHAnsi" w:hAnsiTheme="majorHAnsi"/>
              </w:rPr>
            </w:pPr>
            <w:r w:rsidRPr="00F470B3">
              <w:rPr>
                <w:rFonts w:asciiTheme="majorHAnsi" w:hAnsiTheme="majorHAnsi"/>
              </w:rPr>
              <w:t>26th February 2015</w:t>
            </w:r>
          </w:p>
        </w:tc>
      </w:tr>
      <w:tr w:rsidR="00F470B3" w:rsidRPr="00F470B3" w:rsidTr="00F470B3">
        <w:tc>
          <w:tcPr>
            <w:tcW w:w="4258" w:type="dxa"/>
          </w:tcPr>
          <w:p w:rsidR="00F470B3" w:rsidRPr="00F470B3" w:rsidRDefault="00F470B3" w:rsidP="00F470B3">
            <w:pPr>
              <w:rPr>
                <w:rFonts w:asciiTheme="majorHAnsi" w:hAnsiTheme="majorHAnsi"/>
              </w:rPr>
            </w:pPr>
            <w:r w:rsidRPr="00F470B3">
              <w:rPr>
                <w:rFonts w:asciiTheme="majorHAnsi" w:hAnsiTheme="majorHAnsi"/>
              </w:rPr>
              <w:t>Sector Skill Alliances</w:t>
            </w:r>
          </w:p>
        </w:tc>
        <w:tc>
          <w:tcPr>
            <w:tcW w:w="4258" w:type="dxa"/>
          </w:tcPr>
          <w:p w:rsidR="00F470B3" w:rsidRPr="00F470B3" w:rsidRDefault="00F470B3" w:rsidP="00F470B3">
            <w:pPr>
              <w:rPr>
                <w:rFonts w:asciiTheme="majorHAnsi" w:hAnsiTheme="majorHAnsi"/>
              </w:rPr>
            </w:pPr>
            <w:r w:rsidRPr="00F470B3">
              <w:rPr>
                <w:rFonts w:asciiTheme="majorHAnsi" w:hAnsiTheme="majorHAnsi"/>
              </w:rPr>
              <w:t>26th February 2015</w:t>
            </w:r>
          </w:p>
        </w:tc>
      </w:tr>
      <w:tr w:rsidR="00F470B3" w:rsidRPr="00F470B3" w:rsidTr="00F470B3">
        <w:tc>
          <w:tcPr>
            <w:tcW w:w="4258" w:type="dxa"/>
          </w:tcPr>
          <w:p w:rsidR="00F470B3" w:rsidRPr="00F470B3" w:rsidRDefault="00F470B3" w:rsidP="00F470B3">
            <w:pPr>
              <w:rPr>
                <w:rFonts w:asciiTheme="majorHAnsi" w:hAnsiTheme="majorHAnsi"/>
              </w:rPr>
            </w:pPr>
            <w:r w:rsidRPr="00F470B3">
              <w:rPr>
                <w:rFonts w:asciiTheme="majorHAnsi" w:hAnsiTheme="majorHAnsi"/>
              </w:rPr>
              <w:t>Jean Monnet</w:t>
            </w:r>
            <w:r w:rsidRPr="00F470B3">
              <w:rPr>
                <w:rFonts w:asciiTheme="majorHAnsi" w:hAnsiTheme="majorHAnsi"/>
              </w:rPr>
              <w:tab/>
            </w:r>
          </w:p>
          <w:p w:rsidR="00F470B3" w:rsidRPr="00F470B3" w:rsidRDefault="00F470B3" w:rsidP="00F470B3">
            <w:pPr>
              <w:rPr>
                <w:rFonts w:asciiTheme="majorHAnsi" w:hAnsiTheme="majorHAnsi"/>
              </w:rPr>
            </w:pPr>
            <w:r w:rsidRPr="00F470B3">
              <w:rPr>
                <w:rFonts w:asciiTheme="majorHAnsi" w:hAnsiTheme="majorHAnsi"/>
              </w:rPr>
              <w:t>Modules, Chairs, Centres of Excellence, Support to institutions and Associations, Networks, Projects</w:t>
            </w:r>
            <w:r w:rsidRPr="00F470B3">
              <w:rPr>
                <w:rFonts w:asciiTheme="majorHAnsi" w:hAnsiTheme="majorHAnsi"/>
              </w:rPr>
              <w:tab/>
            </w:r>
          </w:p>
        </w:tc>
        <w:tc>
          <w:tcPr>
            <w:tcW w:w="4258" w:type="dxa"/>
          </w:tcPr>
          <w:p w:rsidR="00F470B3" w:rsidRPr="00F470B3" w:rsidRDefault="00F470B3" w:rsidP="00F470B3">
            <w:pPr>
              <w:rPr>
                <w:rFonts w:asciiTheme="majorHAnsi" w:hAnsiTheme="majorHAnsi"/>
              </w:rPr>
            </w:pPr>
            <w:r w:rsidRPr="00F470B3">
              <w:rPr>
                <w:rFonts w:asciiTheme="majorHAnsi" w:hAnsiTheme="majorHAnsi"/>
              </w:rPr>
              <w:t>26th February 2015</w:t>
            </w:r>
          </w:p>
          <w:p w:rsidR="00F470B3" w:rsidRPr="00F470B3" w:rsidRDefault="00F470B3" w:rsidP="00F470B3">
            <w:pPr>
              <w:rPr>
                <w:rFonts w:asciiTheme="majorHAnsi" w:hAnsiTheme="majorHAnsi"/>
              </w:rPr>
            </w:pPr>
          </w:p>
        </w:tc>
      </w:tr>
      <w:tr w:rsidR="00F470B3" w:rsidRPr="00F470B3" w:rsidTr="00F470B3">
        <w:tblPrEx>
          <w:tblLook w:val="04A0" w:firstRow="1" w:lastRow="0" w:firstColumn="1" w:lastColumn="0" w:noHBand="0" w:noVBand="1"/>
        </w:tblPrEx>
        <w:tc>
          <w:tcPr>
            <w:tcW w:w="4258" w:type="dxa"/>
          </w:tcPr>
          <w:p w:rsidR="00F470B3" w:rsidRPr="00F470B3" w:rsidRDefault="00F470B3" w:rsidP="00F470B3">
            <w:pPr>
              <w:rPr>
                <w:rFonts w:asciiTheme="majorHAnsi" w:hAnsiTheme="majorHAnsi"/>
              </w:rPr>
            </w:pPr>
            <w:r w:rsidRPr="00F470B3">
              <w:rPr>
                <w:rFonts w:asciiTheme="majorHAnsi" w:hAnsiTheme="majorHAnsi"/>
              </w:rPr>
              <w:t>Strategic Partnerships</w:t>
            </w:r>
          </w:p>
        </w:tc>
        <w:tc>
          <w:tcPr>
            <w:tcW w:w="4258" w:type="dxa"/>
          </w:tcPr>
          <w:p w:rsidR="00F470B3" w:rsidRPr="00F470B3" w:rsidRDefault="00F470B3" w:rsidP="00F470B3">
            <w:pPr>
              <w:rPr>
                <w:rFonts w:asciiTheme="majorHAnsi" w:hAnsiTheme="majorHAnsi"/>
              </w:rPr>
            </w:pPr>
            <w:r w:rsidRPr="00F470B3">
              <w:rPr>
                <w:rFonts w:asciiTheme="majorHAnsi" w:hAnsiTheme="majorHAnsi"/>
              </w:rPr>
              <w:t>30th April 2015</w:t>
            </w:r>
          </w:p>
        </w:tc>
      </w:tr>
    </w:tbl>
    <w:p w:rsidR="00F470B3" w:rsidRPr="00F470B3" w:rsidRDefault="00F470B3" w:rsidP="00F470B3">
      <w:pPr>
        <w:rPr>
          <w:rFonts w:asciiTheme="majorHAnsi" w:hAnsiTheme="majorHAnsi"/>
        </w:rPr>
      </w:pPr>
    </w:p>
    <w:p w:rsidR="00F470B3" w:rsidRPr="00F470B3" w:rsidRDefault="00F470B3" w:rsidP="00F470B3">
      <w:pPr>
        <w:rPr>
          <w:rFonts w:asciiTheme="majorHAnsi" w:hAnsiTheme="majorHAnsi"/>
        </w:rPr>
      </w:pPr>
      <w:r w:rsidRPr="00F470B3">
        <w:rPr>
          <w:rFonts w:asciiTheme="majorHAnsi" w:hAnsiTheme="majorHAnsi"/>
        </w:rPr>
        <w:tab/>
      </w:r>
      <w:r w:rsidRPr="00F470B3">
        <w:rPr>
          <w:rFonts w:asciiTheme="majorHAnsi" w:hAnsiTheme="majorHAnsi"/>
        </w:rPr>
        <w:tab/>
      </w:r>
    </w:p>
    <w:p w:rsidR="00F470B3" w:rsidRPr="00F470B3" w:rsidRDefault="00F470B3" w:rsidP="00F470B3">
      <w:pPr>
        <w:rPr>
          <w:rFonts w:asciiTheme="majorHAnsi" w:hAnsiTheme="majorHAnsi"/>
        </w:rPr>
      </w:pPr>
      <w:r w:rsidRPr="00F470B3">
        <w:rPr>
          <w:rFonts w:asciiTheme="majorHAnsi" w:hAnsiTheme="majorHAnsi"/>
        </w:rPr>
        <w:tab/>
      </w:r>
    </w:p>
    <w:p w:rsidR="00F470B3" w:rsidRPr="00F470B3" w:rsidRDefault="00F470B3" w:rsidP="00F470B3">
      <w:pPr>
        <w:rPr>
          <w:rFonts w:asciiTheme="majorHAnsi" w:hAnsiTheme="majorHAnsi"/>
        </w:rPr>
      </w:pPr>
      <w:r w:rsidRPr="00F470B3">
        <w:rPr>
          <w:rFonts w:asciiTheme="majorHAnsi" w:hAnsiTheme="majorHAnsi"/>
        </w:rPr>
        <w:tab/>
      </w:r>
    </w:p>
    <w:p w:rsidR="00F470B3" w:rsidRPr="00F470B3" w:rsidRDefault="00F470B3" w:rsidP="00F470B3">
      <w:pPr>
        <w:rPr>
          <w:rFonts w:asciiTheme="majorHAnsi" w:hAnsiTheme="majorHAnsi"/>
        </w:rPr>
      </w:pPr>
      <w:r w:rsidRPr="00F470B3">
        <w:rPr>
          <w:rFonts w:asciiTheme="majorHAnsi" w:hAnsiTheme="majorHAnsi"/>
        </w:rPr>
        <w:tab/>
      </w:r>
    </w:p>
    <w:p w:rsidR="00F470B3" w:rsidRPr="00F470B3" w:rsidRDefault="00F470B3" w:rsidP="00F470B3">
      <w:pPr>
        <w:rPr>
          <w:rFonts w:asciiTheme="majorHAnsi" w:hAnsiTheme="majorHAnsi"/>
        </w:rPr>
      </w:pPr>
      <w:r w:rsidRPr="00F470B3">
        <w:rPr>
          <w:rFonts w:asciiTheme="majorHAnsi" w:hAnsiTheme="majorHAnsi"/>
        </w:rPr>
        <w:tab/>
      </w:r>
    </w:p>
    <w:p w:rsidR="00F470B3" w:rsidRPr="00F470B3" w:rsidRDefault="00F470B3" w:rsidP="00F470B3">
      <w:pPr>
        <w:rPr>
          <w:rFonts w:asciiTheme="majorHAnsi" w:hAnsiTheme="majorHAnsi"/>
        </w:rPr>
      </w:pPr>
      <w:r w:rsidRPr="00F470B3">
        <w:rPr>
          <w:rFonts w:asciiTheme="majorHAnsi" w:hAnsiTheme="majorHAnsi"/>
        </w:rPr>
        <w:tab/>
      </w:r>
    </w:p>
    <w:p w:rsidR="00A3691C" w:rsidRPr="00F470B3" w:rsidRDefault="00356283">
      <w:pPr>
        <w:rPr>
          <w:rFonts w:asciiTheme="majorHAnsi" w:hAnsiTheme="majorHAnsi"/>
        </w:rPr>
      </w:pPr>
    </w:p>
    <w:sectPr w:rsidR="00A3691C" w:rsidRPr="00F470B3" w:rsidSect="00106D7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1518F7"/>
    <w:rsid w:val="001518F7"/>
    <w:rsid w:val="00356283"/>
    <w:rsid w:val="005F2E2A"/>
    <w:rsid w:val="00671E79"/>
    <w:rsid w:val="00F470B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0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Tempus</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Sofija Dukic</dc:creator>
  <cp:lastModifiedBy>Katarina</cp:lastModifiedBy>
  <cp:revision>2</cp:revision>
  <dcterms:created xsi:type="dcterms:W3CDTF">2014-11-14T11:50:00Z</dcterms:created>
  <dcterms:modified xsi:type="dcterms:W3CDTF">2014-11-14T11:50:00Z</dcterms:modified>
</cp:coreProperties>
</file>